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after="240" w:line="590" w:lineRule="atLeast"/>
        <w:jc w:val="center"/>
        <w:rPr>
          <w:rFonts w:ascii="方正小标宋简体" w:hAnsi="方正小标宋简体" w:eastAsia="方正小标宋简体" w:cs="方正小标宋简体"/>
          <w:sz w:val="36"/>
          <w:szCs w:val="36"/>
        </w:rPr>
      </w:pPr>
      <w:r>
        <w:rPr>
          <w:rFonts w:ascii="方正小标宋简体" w:hAnsi="方正小标宋简体" w:eastAsia="方正小标宋简体" w:cs="方正小标宋简体"/>
          <w:sz w:val="36"/>
          <w:szCs w:val="36"/>
        </w:rPr>
        <w:t>昆明医科大学第一附属医院</w:t>
      </w:r>
    </w:p>
    <w:p>
      <w:pPr>
        <w:pStyle w:val="6"/>
        <w:spacing w:after="240" w:line="590" w:lineRule="atLeast"/>
        <w:jc w:val="center"/>
      </w:pPr>
      <w:r>
        <w:rPr>
          <w:rFonts w:ascii="方正小标宋简体" w:hAnsi="方正小标宋简体" w:eastAsia="方正小标宋简体" w:cs="方正小标宋简体"/>
          <w:sz w:val="36"/>
          <w:szCs w:val="36"/>
        </w:rPr>
        <w:t>2021年度部门决算</w:t>
      </w:r>
      <w:r>
        <w:rPr>
          <w:rFonts w:ascii="黑体" w:hAnsi="黑体" w:eastAsia="黑体" w:cs="黑体"/>
          <w:sz w:val="36"/>
          <w:szCs w:val="36"/>
        </w:rPr>
        <w:t>目录</w:t>
      </w:r>
    </w:p>
    <w:p>
      <w:pPr>
        <w:pStyle w:val="6"/>
        <w:spacing w:before="240" w:after="240" w:line="590" w:lineRule="atLeast"/>
        <w:jc w:val="left"/>
      </w:pPr>
      <w:r>
        <w:rPr>
          <w:rFonts w:ascii="黑体" w:hAnsi="黑体" w:eastAsia="黑体" w:cs="黑体"/>
          <w:sz w:val="30"/>
          <w:szCs w:val="30"/>
        </w:rPr>
        <w:t>第一部分 昆明医科大学第一附属医院概况</w:t>
      </w:r>
    </w:p>
    <w:p>
      <w:pPr>
        <w:pStyle w:val="6"/>
        <w:spacing w:before="240" w:after="240" w:line="590" w:lineRule="atLeast"/>
        <w:jc w:val="left"/>
      </w:pPr>
      <w:r>
        <w:rPr>
          <w:rFonts w:ascii="楷体" w:hAnsi="楷体" w:eastAsia="楷体" w:cs="楷体"/>
          <w:sz w:val="30"/>
          <w:szCs w:val="30"/>
        </w:rPr>
        <w:t>一、主要职能</w:t>
      </w:r>
    </w:p>
    <w:p>
      <w:pPr>
        <w:pStyle w:val="6"/>
        <w:spacing w:before="240" w:after="240" w:line="590" w:lineRule="atLeast"/>
        <w:jc w:val="left"/>
      </w:pPr>
      <w:r>
        <w:rPr>
          <w:rFonts w:ascii="楷体" w:hAnsi="楷体" w:eastAsia="楷体" w:cs="楷体"/>
          <w:sz w:val="30"/>
          <w:szCs w:val="30"/>
        </w:rPr>
        <w:t>二、部门基本情况</w:t>
      </w:r>
    </w:p>
    <w:p>
      <w:pPr>
        <w:pStyle w:val="6"/>
        <w:spacing w:before="240" w:after="240" w:line="590" w:lineRule="atLeast"/>
        <w:jc w:val="left"/>
      </w:pPr>
      <w:r>
        <w:rPr>
          <w:rFonts w:ascii="黑体" w:hAnsi="黑体" w:eastAsia="黑体" w:cs="黑体"/>
          <w:sz w:val="30"/>
          <w:szCs w:val="30"/>
        </w:rPr>
        <w:t>第二部分 2021年度部门决算表</w:t>
      </w:r>
    </w:p>
    <w:p>
      <w:pPr>
        <w:pStyle w:val="6"/>
        <w:spacing w:before="240" w:after="240" w:line="590" w:lineRule="atLeast"/>
        <w:jc w:val="left"/>
      </w:pPr>
      <w:r>
        <w:rPr>
          <w:rFonts w:ascii="楷体" w:hAnsi="楷体" w:eastAsia="楷体" w:cs="楷体"/>
          <w:sz w:val="30"/>
          <w:szCs w:val="30"/>
        </w:rPr>
        <w:t>一、收入支出决算总表</w:t>
      </w:r>
    </w:p>
    <w:p>
      <w:pPr>
        <w:pStyle w:val="6"/>
        <w:spacing w:before="240" w:after="240" w:line="590" w:lineRule="atLeast"/>
        <w:jc w:val="left"/>
      </w:pPr>
      <w:r>
        <w:rPr>
          <w:rFonts w:ascii="楷体" w:hAnsi="楷体" w:eastAsia="楷体" w:cs="楷体"/>
          <w:sz w:val="30"/>
          <w:szCs w:val="30"/>
        </w:rPr>
        <w:t>二、收入决算表</w:t>
      </w:r>
    </w:p>
    <w:p>
      <w:pPr>
        <w:pStyle w:val="6"/>
        <w:spacing w:before="240" w:after="240" w:line="590" w:lineRule="atLeast"/>
        <w:jc w:val="left"/>
      </w:pPr>
      <w:r>
        <w:rPr>
          <w:rFonts w:ascii="楷体" w:hAnsi="楷体" w:eastAsia="楷体" w:cs="楷体"/>
          <w:sz w:val="30"/>
          <w:szCs w:val="30"/>
        </w:rPr>
        <w:t>三、支出决算表</w:t>
      </w:r>
    </w:p>
    <w:p>
      <w:pPr>
        <w:pStyle w:val="6"/>
        <w:spacing w:before="240" w:after="240" w:line="590" w:lineRule="atLeast"/>
        <w:jc w:val="left"/>
      </w:pPr>
      <w:r>
        <w:rPr>
          <w:rFonts w:ascii="楷体" w:hAnsi="楷体" w:eastAsia="楷体" w:cs="楷体"/>
          <w:sz w:val="30"/>
          <w:szCs w:val="30"/>
        </w:rPr>
        <w:t>四、财政拨款收入支出决算总表</w:t>
      </w:r>
    </w:p>
    <w:p>
      <w:pPr>
        <w:pStyle w:val="6"/>
        <w:spacing w:before="240" w:after="240" w:line="590" w:lineRule="atLeast"/>
        <w:jc w:val="left"/>
      </w:pPr>
      <w:r>
        <w:rPr>
          <w:rFonts w:ascii="楷体" w:hAnsi="楷体" w:eastAsia="楷体" w:cs="楷体"/>
          <w:sz w:val="30"/>
          <w:szCs w:val="30"/>
        </w:rPr>
        <w:t>五、一般公共预算财政拨款收入支出决算表</w:t>
      </w:r>
    </w:p>
    <w:p>
      <w:pPr>
        <w:pStyle w:val="6"/>
        <w:spacing w:before="240" w:after="240" w:line="590" w:lineRule="atLeast"/>
        <w:jc w:val="left"/>
      </w:pPr>
      <w:r>
        <w:rPr>
          <w:rFonts w:ascii="楷体" w:hAnsi="楷体" w:eastAsia="楷体" w:cs="楷体"/>
          <w:sz w:val="30"/>
          <w:szCs w:val="30"/>
        </w:rPr>
        <w:t>六、一般公共预算财政拨款基本支出决算表</w:t>
      </w:r>
    </w:p>
    <w:p>
      <w:pPr>
        <w:pStyle w:val="6"/>
        <w:spacing w:before="240" w:after="240" w:line="590" w:lineRule="atLeast"/>
        <w:jc w:val="left"/>
      </w:pPr>
      <w:r>
        <w:rPr>
          <w:rFonts w:ascii="楷体" w:hAnsi="楷体" w:eastAsia="楷体" w:cs="楷体"/>
          <w:sz w:val="30"/>
          <w:szCs w:val="30"/>
        </w:rPr>
        <w:t>七、政府性基金预算财政拨款收入支出决算表</w:t>
      </w:r>
    </w:p>
    <w:p>
      <w:pPr>
        <w:pStyle w:val="6"/>
        <w:spacing w:before="240" w:after="240" w:line="590" w:lineRule="atLeast"/>
        <w:jc w:val="left"/>
      </w:pPr>
      <w:r>
        <w:rPr>
          <w:rFonts w:ascii="楷体" w:hAnsi="楷体" w:eastAsia="楷体" w:cs="楷体"/>
          <w:sz w:val="30"/>
          <w:szCs w:val="30"/>
        </w:rPr>
        <w:t>八、国有资本经营预算财政拨款收入支出决算表</w:t>
      </w:r>
    </w:p>
    <w:p>
      <w:pPr>
        <w:pStyle w:val="6"/>
        <w:spacing w:before="240" w:after="240" w:line="590" w:lineRule="atLeast"/>
        <w:jc w:val="left"/>
      </w:pPr>
      <w:r>
        <w:rPr>
          <w:rFonts w:ascii="楷体" w:hAnsi="楷体" w:eastAsia="楷体" w:cs="楷体"/>
          <w:sz w:val="30"/>
          <w:szCs w:val="30"/>
        </w:rPr>
        <w:t>九、</w:t>
      </w:r>
      <w:r>
        <w:rPr>
          <w:rFonts w:ascii="Times New Roman" w:hAnsi="Times New Roman" w:eastAsia="Times New Roman" w:cs="Times New Roman"/>
          <w:sz w:val="30"/>
          <w:szCs w:val="30"/>
        </w:rPr>
        <w:t>“</w:t>
      </w:r>
      <w:r>
        <w:rPr>
          <w:rFonts w:ascii="楷体" w:hAnsi="楷体" w:eastAsia="楷体" w:cs="楷体"/>
          <w:sz w:val="30"/>
          <w:szCs w:val="30"/>
        </w:rPr>
        <w:t>三公</w:t>
      </w:r>
      <w:r>
        <w:rPr>
          <w:rFonts w:ascii="Times New Roman" w:hAnsi="Times New Roman" w:eastAsia="Times New Roman" w:cs="Times New Roman"/>
          <w:sz w:val="30"/>
          <w:szCs w:val="30"/>
        </w:rPr>
        <w:t>”</w:t>
      </w:r>
      <w:r>
        <w:rPr>
          <w:rFonts w:ascii="楷体" w:hAnsi="楷体" w:eastAsia="楷体" w:cs="楷体"/>
          <w:sz w:val="30"/>
          <w:szCs w:val="30"/>
        </w:rPr>
        <w:t>经费、行政参公单位机关运行经费情况表</w:t>
      </w:r>
    </w:p>
    <w:p>
      <w:pPr>
        <w:pStyle w:val="6"/>
        <w:spacing w:before="240" w:after="240" w:line="590" w:lineRule="atLeast"/>
        <w:jc w:val="left"/>
      </w:pPr>
      <w:r>
        <w:rPr>
          <w:rFonts w:ascii="黑体" w:hAnsi="黑体" w:eastAsia="黑体" w:cs="黑体"/>
          <w:sz w:val="30"/>
          <w:szCs w:val="30"/>
        </w:rPr>
        <w:t>第三部分 2021年度部门决算情况说明</w:t>
      </w:r>
    </w:p>
    <w:p>
      <w:pPr>
        <w:pStyle w:val="6"/>
        <w:spacing w:before="240" w:after="240" w:line="590" w:lineRule="atLeast"/>
        <w:jc w:val="left"/>
      </w:pPr>
      <w:r>
        <w:rPr>
          <w:rFonts w:ascii="楷体" w:hAnsi="楷体" w:eastAsia="楷体" w:cs="楷体"/>
          <w:sz w:val="30"/>
          <w:szCs w:val="30"/>
        </w:rPr>
        <w:t>一、收入决算情况说明</w:t>
      </w:r>
    </w:p>
    <w:p>
      <w:pPr>
        <w:pStyle w:val="6"/>
        <w:spacing w:before="240" w:after="240" w:line="590" w:lineRule="atLeast"/>
        <w:jc w:val="left"/>
      </w:pPr>
      <w:r>
        <w:rPr>
          <w:rFonts w:ascii="楷体" w:hAnsi="楷体" w:eastAsia="楷体" w:cs="楷体"/>
          <w:sz w:val="30"/>
          <w:szCs w:val="30"/>
        </w:rPr>
        <w:t>二、支出决算情况说明</w:t>
      </w:r>
    </w:p>
    <w:p>
      <w:pPr>
        <w:pStyle w:val="6"/>
        <w:spacing w:before="240" w:after="240" w:line="590" w:lineRule="atLeast"/>
        <w:jc w:val="left"/>
      </w:pPr>
      <w:r>
        <w:rPr>
          <w:rFonts w:ascii="楷体" w:hAnsi="楷体" w:eastAsia="楷体" w:cs="楷体"/>
          <w:sz w:val="30"/>
          <w:szCs w:val="30"/>
        </w:rPr>
        <w:t>三、一般公共预算财政拨款支出决算情况说明</w:t>
      </w:r>
    </w:p>
    <w:p>
      <w:pPr>
        <w:pStyle w:val="6"/>
        <w:spacing w:before="240" w:after="240" w:line="590" w:lineRule="atLeast"/>
        <w:jc w:val="left"/>
      </w:pPr>
      <w:r>
        <w:rPr>
          <w:rFonts w:ascii="楷体" w:hAnsi="楷体" w:eastAsia="楷体" w:cs="楷体"/>
          <w:sz w:val="30"/>
          <w:szCs w:val="30"/>
        </w:rPr>
        <w:t>四、一般公共预算财政拨款</w:t>
      </w:r>
      <w:r>
        <w:rPr>
          <w:rFonts w:ascii="Times New Roman" w:hAnsi="Times New Roman" w:eastAsia="Times New Roman" w:cs="Times New Roman"/>
          <w:sz w:val="30"/>
          <w:szCs w:val="30"/>
        </w:rPr>
        <w:t>“</w:t>
      </w:r>
      <w:r>
        <w:rPr>
          <w:rFonts w:ascii="楷体" w:hAnsi="楷体" w:eastAsia="楷体" w:cs="楷体"/>
          <w:sz w:val="30"/>
          <w:szCs w:val="30"/>
        </w:rPr>
        <w:t>三公</w:t>
      </w:r>
      <w:r>
        <w:rPr>
          <w:rFonts w:ascii="Times New Roman" w:hAnsi="Times New Roman" w:eastAsia="Times New Roman" w:cs="Times New Roman"/>
          <w:sz w:val="30"/>
          <w:szCs w:val="30"/>
        </w:rPr>
        <w:t>”</w:t>
      </w:r>
      <w:r>
        <w:rPr>
          <w:rFonts w:ascii="楷体" w:hAnsi="楷体" w:eastAsia="楷体" w:cs="楷体"/>
          <w:sz w:val="30"/>
          <w:szCs w:val="30"/>
        </w:rPr>
        <w:t>经费支出决算情况说明</w:t>
      </w:r>
    </w:p>
    <w:p>
      <w:pPr>
        <w:pStyle w:val="6"/>
        <w:spacing w:before="240" w:after="240" w:line="590" w:lineRule="atLeast"/>
        <w:jc w:val="left"/>
      </w:pPr>
      <w:r>
        <w:rPr>
          <w:rFonts w:ascii="黑体" w:hAnsi="黑体" w:eastAsia="黑体" w:cs="黑体"/>
          <w:sz w:val="30"/>
          <w:szCs w:val="30"/>
        </w:rPr>
        <w:t>第四部分 其他重要事项及相关口径情况说明</w:t>
      </w:r>
    </w:p>
    <w:p>
      <w:pPr>
        <w:pStyle w:val="6"/>
        <w:spacing w:before="240" w:after="240" w:line="590" w:lineRule="atLeast"/>
        <w:jc w:val="left"/>
      </w:pPr>
      <w:r>
        <w:rPr>
          <w:rFonts w:ascii="楷体" w:hAnsi="楷体" w:eastAsia="楷体" w:cs="楷体"/>
          <w:sz w:val="30"/>
          <w:szCs w:val="30"/>
        </w:rPr>
        <w:t>一、机关运行经费支出情况</w:t>
      </w:r>
    </w:p>
    <w:p>
      <w:pPr>
        <w:pStyle w:val="6"/>
        <w:spacing w:before="240" w:after="240" w:line="590" w:lineRule="atLeast"/>
        <w:jc w:val="left"/>
      </w:pPr>
      <w:r>
        <w:rPr>
          <w:rFonts w:ascii="楷体" w:hAnsi="楷体" w:eastAsia="楷体" w:cs="楷体"/>
          <w:sz w:val="30"/>
          <w:szCs w:val="30"/>
        </w:rPr>
        <w:t>二、国有资产占用情况</w:t>
      </w:r>
    </w:p>
    <w:p>
      <w:pPr>
        <w:pStyle w:val="6"/>
        <w:spacing w:before="240" w:after="240" w:line="590" w:lineRule="atLeast"/>
        <w:jc w:val="left"/>
      </w:pPr>
      <w:r>
        <w:rPr>
          <w:rFonts w:ascii="楷体" w:hAnsi="楷体" w:eastAsia="楷体" w:cs="楷体"/>
          <w:sz w:val="30"/>
          <w:szCs w:val="30"/>
        </w:rPr>
        <w:t>三、政府采购支出情况</w:t>
      </w:r>
    </w:p>
    <w:p>
      <w:pPr>
        <w:pStyle w:val="6"/>
        <w:spacing w:before="240" w:after="240" w:line="590" w:lineRule="atLeast"/>
        <w:jc w:val="left"/>
      </w:pPr>
      <w:r>
        <w:rPr>
          <w:rFonts w:ascii="楷体" w:hAnsi="楷体" w:eastAsia="楷体" w:cs="楷体"/>
          <w:sz w:val="30"/>
          <w:szCs w:val="30"/>
        </w:rPr>
        <w:t>四、部门绩效自评情况</w:t>
      </w:r>
    </w:p>
    <w:p>
      <w:pPr>
        <w:pStyle w:val="6"/>
        <w:spacing w:before="240" w:after="240" w:line="590" w:lineRule="atLeast"/>
        <w:jc w:val="left"/>
      </w:pPr>
      <w:r>
        <w:rPr>
          <w:rFonts w:ascii="楷体" w:hAnsi="楷体" w:eastAsia="楷体" w:cs="楷体"/>
          <w:sz w:val="30"/>
          <w:szCs w:val="30"/>
        </w:rPr>
        <w:t>（一）部门整体支出绩效自评情况</w:t>
      </w:r>
    </w:p>
    <w:p>
      <w:pPr>
        <w:pStyle w:val="6"/>
        <w:spacing w:before="240" w:after="240" w:line="590" w:lineRule="atLeast"/>
        <w:jc w:val="left"/>
      </w:pPr>
      <w:r>
        <w:rPr>
          <w:rFonts w:ascii="楷体" w:hAnsi="楷体" w:eastAsia="楷体" w:cs="楷体"/>
          <w:sz w:val="30"/>
          <w:szCs w:val="30"/>
        </w:rPr>
        <w:t>（二）部门整体支出绩效自评表</w:t>
      </w:r>
    </w:p>
    <w:p>
      <w:pPr>
        <w:pStyle w:val="6"/>
        <w:spacing w:before="240" w:after="240" w:line="590" w:lineRule="atLeast"/>
        <w:jc w:val="left"/>
      </w:pPr>
      <w:r>
        <w:rPr>
          <w:rFonts w:ascii="楷体" w:hAnsi="楷体" w:eastAsia="楷体" w:cs="楷体"/>
          <w:sz w:val="30"/>
          <w:szCs w:val="30"/>
        </w:rPr>
        <w:t>（三）项目支出绩效自评表</w:t>
      </w:r>
    </w:p>
    <w:p>
      <w:pPr>
        <w:pStyle w:val="6"/>
        <w:spacing w:before="240" w:after="240" w:line="590" w:lineRule="atLeast"/>
        <w:jc w:val="left"/>
      </w:pPr>
      <w:r>
        <w:rPr>
          <w:rFonts w:ascii="楷体" w:hAnsi="楷体" w:eastAsia="楷体" w:cs="楷体"/>
          <w:sz w:val="30"/>
          <w:szCs w:val="30"/>
        </w:rPr>
        <w:t>五、其他重要事项情况说明</w:t>
      </w:r>
    </w:p>
    <w:p>
      <w:pPr>
        <w:pStyle w:val="6"/>
        <w:spacing w:before="240" w:after="240" w:line="590" w:lineRule="atLeast"/>
        <w:jc w:val="left"/>
      </w:pPr>
      <w:r>
        <w:rPr>
          <w:rFonts w:ascii="黑体" w:hAnsi="黑体" w:eastAsia="黑体" w:cs="黑体"/>
          <w:sz w:val="30"/>
          <w:szCs w:val="30"/>
        </w:rPr>
        <w:t>第五部分 名词解释</w:t>
      </w:r>
    </w:p>
    <w:p>
      <w:pPr>
        <w:pStyle w:val="6"/>
        <w:spacing w:before="240" w:after="240" w:line="590" w:lineRule="atLeast"/>
        <w:jc w:val="center"/>
      </w:pPr>
      <w:r>
        <w:rPr>
          <w:rFonts w:ascii="黑体" w:hAnsi="黑体" w:eastAsia="黑体" w:cs="黑体"/>
          <w:sz w:val="32"/>
          <w:szCs w:val="32"/>
        </w:rPr>
        <w:t>第一部分 昆明医科大学第一附属医院概况</w:t>
      </w:r>
    </w:p>
    <w:p>
      <w:pPr>
        <w:pStyle w:val="6"/>
        <w:spacing w:before="240" w:after="240" w:line="590" w:lineRule="atLeast"/>
        <w:ind w:firstLine="600"/>
      </w:pPr>
      <w:r>
        <w:rPr>
          <w:rFonts w:ascii="黑体" w:hAnsi="黑体" w:eastAsia="黑体" w:cs="黑体"/>
          <w:sz w:val="30"/>
          <w:szCs w:val="30"/>
        </w:rPr>
        <w:t>一、主要职能</w:t>
      </w:r>
    </w:p>
    <w:p>
      <w:pPr>
        <w:pStyle w:val="6"/>
        <w:spacing w:before="240" w:after="240" w:line="590" w:lineRule="atLeast"/>
        <w:ind w:firstLine="600"/>
        <w:rPr>
          <w:sz w:val="30"/>
          <w:szCs w:val="30"/>
        </w:rPr>
      </w:pPr>
      <w:r>
        <w:rPr>
          <w:rFonts w:ascii="楷体" w:hAnsi="楷体" w:eastAsia="楷体" w:cs="楷体"/>
          <w:sz w:val="30"/>
          <w:szCs w:val="30"/>
        </w:rPr>
        <w:t>（一）主要职能</w:t>
      </w:r>
    </w:p>
    <w:p>
      <w:pPr>
        <w:shd w:val="clear" w:color="auto" w:fill="FFFFFF"/>
        <w:autoSpaceDE w:val="0"/>
        <w:autoSpaceDN w:val="0"/>
        <w:snapToGrid w:val="0"/>
        <w:spacing w:beforeLines="50" w:afterLines="50" w:line="360" w:lineRule="auto"/>
        <w:ind w:firstLine="600" w:firstLineChars="200"/>
        <w:contextualSpacing/>
        <w:jc w:val="both"/>
        <w:rPr>
          <w:rFonts w:hint="eastAsia" w:ascii="仿宋" w:hAnsi="仿宋" w:eastAsia="仿宋" w:cs="仿宋"/>
          <w:i w:val="0"/>
          <w:iCs w:val="0"/>
          <w:caps w:val="0"/>
          <w:color w:val="000000"/>
          <w:spacing w:val="0"/>
          <w:sz w:val="30"/>
          <w:szCs w:val="30"/>
          <w:shd w:val="clear" w:fill="FFFFFF"/>
        </w:rPr>
      </w:pPr>
      <w:r>
        <w:rPr>
          <w:rFonts w:hint="eastAsia" w:ascii="仿宋" w:hAnsi="仿宋" w:eastAsia="仿宋" w:cs="仿宋"/>
          <w:i w:val="0"/>
          <w:iCs w:val="0"/>
          <w:caps w:val="0"/>
          <w:color w:val="000000"/>
          <w:spacing w:val="0"/>
          <w:sz w:val="30"/>
          <w:szCs w:val="30"/>
          <w:shd w:val="clear" w:fill="FFFFFF"/>
        </w:rPr>
        <w:t>昆明医科大学第一附属医院是一所集医疗、教学、科研、预防、干部保健、突发公共卫生事件应急处理和医疗急救于一体的大型综合医院</w:t>
      </w:r>
      <w:r>
        <w:rPr>
          <w:rFonts w:hint="eastAsia" w:ascii="仿宋" w:hAnsi="仿宋" w:eastAsia="仿宋" w:cs="仿宋"/>
          <w:i w:val="0"/>
          <w:iCs w:val="0"/>
          <w:caps w:val="0"/>
          <w:color w:val="000000"/>
          <w:spacing w:val="0"/>
          <w:sz w:val="30"/>
          <w:szCs w:val="30"/>
          <w:shd w:val="clear" w:fill="FFFFFF"/>
          <w:lang w:eastAsia="zh-CN"/>
        </w:rPr>
        <w:t>。</w:t>
      </w:r>
      <w:r>
        <w:rPr>
          <w:rFonts w:hint="eastAsia" w:ascii="仿宋" w:hAnsi="仿宋" w:eastAsia="仿宋" w:cs="仿宋"/>
          <w:sz w:val="30"/>
          <w:szCs w:val="30"/>
          <w:shd w:val="clear" w:color="auto" w:fill="FFFFFF"/>
        </w:rPr>
        <w:t>医院建于1941年，原为“国立云南大学医学院附属医院”（即云大医院），1993年被卫生部评定为首批“三级甲等医院”。</w:t>
      </w:r>
      <w:r>
        <w:rPr>
          <w:rFonts w:hint="eastAsia" w:ascii="仿宋" w:hAnsi="仿宋" w:eastAsia="仿宋" w:cs="仿宋"/>
          <w:i w:val="0"/>
          <w:iCs w:val="0"/>
          <w:caps w:val="0"/>
          <w:color w:val="000000"/>
          <w:spacing w:val="0"/>
          <w:sz w:val="30"/>
          <w:szCs w:val="30"/>
          <w:shd w:val="clear" w:fill="FFFFFF"/>
        </w:rPr>
        <w:t>是昆明医科大学直属附属医院暨临床医学院，国家首批住院医师规范化培训基地，省级医学科技创新基地。以名医荟萃、学科齐全、技术力量雄厚、特色专科突出、多学科综合优势强大位列云南医疗界榜首</w:t>
      </w:r>
      <w:r>
        <w:rPr>
          <w:rFonts w:hint="eastAsia" w:ascii="仿宋" w:hAnsi="仿宋" w:eastAsia="仿宋" w:cs="仿宋"/>
          <w:i w:val="0"/>
          <w:iCs w:val="0"/>
          <w:caps w:val="0"/>
          <w:color w:val="000000"/>
          <w:spacing w:val="0"/>
          <w:sz w:val="30"/>
          <w:szCs w:val="30"/>
          <w:shd w:val="clear" w:fill="FFFFFF"/>
          <w:lang w:eastAsia="zh-CN"/>
        </w:rPr>
        <w:t>。</w:t>
      </w:r>
      <w:r>
        <w:rPr>
          <w:rFonts w:hint="eastAsia" w:ascii="仿宋" w:hAnsi="仿宋" w:eastAsia="仿宋" w:cs="仿宋"/>
          <w:i w:val="0"/>
          <w:iCs w:val="0"/>
          <w:caps w:val="0"/>
          <w:color w:val="000000"/>
          <w:spacing w:val="0"/>
          <w:sz w:val="30"/>
          <w:szCs w:val="30"/>
          <w:shd w:val="clear" w:fill="FFFFFF"/>
        </w:rPr>
        <w:t>在复旦大学医院管理研究所公布的西南区综合实力排行榜中两次位列第四</w:t>
      </w:r>
      <w:r>
        <w:rPr>
          <w:rFonts w:hint="eastAsia" w:ascii="仿宋" w:hAnsi="仿宋" w:eastAsia="仿宋" w:cs="仿宋"/>
          <w:i w:val="0"/>
          <w:iCs w:val="0"/>
          <w:caps w:val="0"/>
          <w:color w:val="000000"/>
          <w:spacing w:val="0"/>
          <w:sz w:val="30"/>
          <w:szCs w:val="30"/>
          <w:shd w:val="clear" w:fill="FFFFFF"/>
          <w:lang w:eastAsia="zh-CN"/>
        </w:rPr>
        <w:t>。</w:t>
      </w:r>
      <w:r>
        <w:rPr>
          <w:rFonts w:hint="eastAsia" w:ascii="仿宋" w:hAnsi="仿宋" w:eastAsia="仿宋" w:cs="仿宋"/>
          <w:i w:val="0"/>
          <w:iCs w:val="0"/>
          <w:caps w:val="0"/>
          <w:color w:val="000000"/>
          <w:spacing w:val="0"/>
          <w:sz w:val="30"/>
          <w:szCs w:val="30"/>
          <w:shd w:val="clear" w:fill="FFFFFF"/>
        </w:rPr>
        <w:t>医疗服务实力雄厚，医院现有西昌路院本部、呈贡医院</w:t>
      </w:r>
      <w:r>
        <w:rPr>
          <w:rFonts w:hint="eastAsia" w:ascii="仿宋" w:hAnsi="仿宋" w:eastAsia="仿宋" w:cs="仿宋"/>
          <w:i w:val="0"/>
          <w:iCs w:val="0"/>
          <w:caps w:val="0"/>
          <w:color w:val="000000"/>
          <w:spacing w:val="0"/>
          <w:sz w:val="30"/>
          <w:szCs w:val="30"/>
        </w:rPr>
        <w:t>2</w:t>
      </w:r>
      <w:r>
        <w:rPr>
          <w:rFonts w:hint="eastAsia" w:ascii="仿宋" w:hAnsi="仿宋" w:eastAsia="仿宋" w:cs="仿宋"/>
          <w:i w:val="0"/>
          <w:iCs w:val="0"/>
          <w:caps w:val="0"/>
          <w:color w:val="000000"/>
          <w:spacing w:val="0"/>
          <w:sz w:val="30"/>
          <w:szCs w:val="30"/>
          <w:shd w:val="clear" w:fill="FFFFFF"/>
        </w:rPr>
        <w:t>个院区，总占地</w:t>
      </w:r>
      <w:r>
        <w:rPr>
          <w:rFonts w:hint="eastAsia" w:ascii="仿宋" w:hAnsi="仿宋" w:eastAsia="仿宋" w:cs="仿宋"/>
          <w:i w:val="0"/>
          <w:iCs w:val="0"/>
          <w:caps w:val="0"/>
          <w:color w:val="000000"/>
          <w:spacing w:val="0"/>
          <w:sz w:val="30"/>
          <w:szCs w:val="30"/>
        </w:rPr>
        <w:t>455</w:t>
      </w:r>
      <w:r>
        <w:rPr>
          <w:rFonts w:hint="eastAsia" w:ascii="仿宋" w:hAnsi="仿宋" w:eastAsia="仿宋" w:cs="仿宋"/>
          <w:i w:val="0"/>
          <w:iCs w:val="0"/>
          <w:caps w:val="0"/>
          <w:color w:val="000000"/>
          <w:spacing w:val="0"/>
          <w:sz w:val="30"/>
          <w:szCs w:val="30"/>
          <w:shd w:val="clear" w:fill="FFFFFF"/>
        </w:rPr>
        <w:t>亩，总建筑面积</w:t>
      </w:r>
      <w:r>
        <w:rPr>
          <w:rFonts w:hint="eastAsia" w:ascii="仿宋" w:hAnsi="仿宋" w:eastAsia="仿宋" w:cs="仿宋"/>
          <w:i w:val="0"/>
          <w:iCs w:val="0"/>
          <w:caps w:val="0"/>
          <w:color w:val="000000"/>
          <w:spacing w:val="0"/>
          <w:sz w:val="30"/>
          <w:szCs w:val="30"/>
        </w:rPr>
        <w:t>50.41</w:t>
      </w:r>
      <w:r>
        <w:rPr>
          <w:rFonts w:hint="eastAsia" w:ascii="仿宋" w:hAnsi="仿宋" w:eastAsia="仿宋" w:cs="仿宋"/>
          <w:i w:val="0"/>
          <w:iCs w:val="0"/>
          <w:caps w:val="0"/>
          <w:color w:val="000000"/>
          <w:spacing w:val="0"/>
          <w:sz w:val="30"/>
          <w:szCs w:val="30"/>
          <w:shd w:val="clear" w:fill="FFFFFF"/>
        </w:rPr>
        <w:t>万平方米，在职职工</w:t>
      </w:r>
      <w:r>
        <w:rPr>
          <w:rFonts w:hint="eastAsia" w:ascii="仿宋" w:hAnsi="仿宋" w:eastAsia="仿宋" w:cs="仿宋"/>
          <w:i w:val="0"/>
          <w:iCs w:val="0"/>
          <w:caps w:val="0"/>
          <w:color w:val="000000"/>
          <w:spacing w:val="0"/>
          <w:sz w:val="30"/>
          <w:szCs w:val="30"/>
        </w:rPr>
        <w:t>5000</w:t>
      </w:r>
      <w:r>
        <w:rPr>
          <w:rFonts w:hint="eastAsia" w:ascii="仿宋" w:hAnsi="仿宋" w:eastAsia="仿宋" w:cs="仿宋"/>
          <w:i w:val="0"/>
          <w:iCs w:val="0"/>
          <w:caps w:val="0"/>
          <w:color w:val="000000"/>
          <w:spacing w:val="0"/>
          <w:sz w:val="30"/>
          <w:szCs w:val="30"/>
          <w:shd w:val="clear" w:fill="FFFFFF"/>
        </w:rPr>
        <w:t>余人，编制床位</w:t>
      </w:r>
      <w:r>
        <w:rPr>
          <w:rFonts w:hint="eastAsia" w:ascii="仿宋" w:hAnsi="仿宋" w:eastAsia="仿宋" w:cs="仿宋"/>
          <w:i w:val="0"/>
          <w:iCs w:val="0"/>
          <w:caps w:val="0"/>
          <w:color w:val="000000"/>
          <w:spacing w:val="0"/>
          <w:sz w:val="30"/>
          <w:szCs w:val="30"/>
        </w:rPr>
        <w:t>2536</w:t>
      </w:r>
      <w:r>
        <w:rPr>
          <w:rFonts w:hint="eastAsia" w:ascii="仿宋" w:hAnsi="仿宋" w:eastAsia="仿宋" w:cs="仿宋"/>
          <w:i w:val="0"/>
          <w:iCs w:val="0"/>
          <w:caps w:val="0"/>
          <w:color w:val="000000"/>
          <w:spacing w:val="0"/>
          <w:sz w:val="30"/>
          <w:szCs w:val="30"/>
          <w:shd w:val="clear" w:fill="FFFFFF"/>
        </w:rPr>
        <w:t>张，设有临床、医技科室</w:t>
      </w:r>
      <w:r>
        <w:rPr>
          <w:rFonts w:hint="eastAsia" w:ascii="仿宋" w:hAnsi="仿宋" w:eastAsia="仿宋" w:cs="仿宋"/>
          <w:i w:val="0"/>
          <w:iCs w:val="0"/>
          <w:caps w:val="0"/>
          <w:color w:val="000000"/>
          <w:spacing w:val="0"/>
          <w:sz w:val="30"/>
          <w:szCs w:val="30"/>
        </w:rPr>
        <w:t>60</w:t>
      </w:r>
      <w:r>
        <w:rPr>
          <w:rFonts w:hint="eastAsia" w:ascii="仿宋" w:hAnsi="仿宋" w:eastAsia="仿宋" w:cs="仿宋"/>
          <w:i w:val="0"/>
          <w:iCs w:val="0"/>
          <w:caps w:val="0"/>
          <w:color w:val="000000"/>
          <w:spacing w:val="0"/>
          <w:sz w:val="30"/>
          <w:szCs w:val="30"/>
          <w:shd w:val="clear" w:fill="FFFFFF"/>
        </w:rPr>
        <w:t>个。有国家级重点专科</w:t>
      </w:r>
      <w:r>
        <w:rPr>
          <w:rFonts w:hint="eastAsia" w:ascii="仿宋" w:hAnsi="仿宋" w:eastAsia="仿宋" w:cs="仿宋"/>
          <w:i w:val="0"/>
          <w:iCs w:val="0"/>
          <w:caps w:val="0"/>
          <w:color w:val="000000"/>
          <w:spacing w:val="0"/>
          <w:sz w:val="30"/>
          <w:szCs w:val="30"/>
        </w:rPr>
        <w:t>6</w:t>
      </w:r>
      <w:r>
        <w:rPr>
          <w:rFonts w:hint="eastAsia" w:ascii="仿宋" w:hAnsi="仿宋" w:eastAsia="仿宋" w:cs="仿宋"/>
          <w:i w:val="0"/>
          <w:iCs w:val="0"/>
          <w:caps w:val="0"/>
          <w:color w:val="000000"/>
          <w:spacing w:val="0"/>
          <w:sz w:val="30"/>
          <w:szCs w:val="30"/>
          <w:shd w:val="clear" w:fill="FFFFFF"/>
        </w:rPr>
        <w:t>个，省级临床重点专科</w:t>
      </w:r>
      <w:r>
        <w:rPr>
          <w:rFonts w:hint="eastAsia" w:ascii="仿宋" w:hAnsi="仿宋" w:eastAsia="仿宋" w:cs="仿宋"/>
          <w:i w:val="0"/>
          <w:iCs w:val="0"/>
          <w:caps w:val="0"/>
          <w:color w:val="000000"/>
          <w:spacing w:val="0"/>
          <w:sz w:val="30"/>
          <w:szCs w:val="30"/>
        </w:rPr>
        <w:t>24</w:t>
      </w:r>
      <w:r>
        <w:rPr>
          <w:rFonts w:hint="eastAsia" w:ascii="仿宋" w:hAnsi="仿宋" w:eastAsia="仿宋" w:cs="仿宋"/>
          <w:i w:val="0"/>
          <w:iCs w:val="0"/>
          <w:caps w:val="0"/>
          <w:color w:val="000000"/>
          <w:spacing w:val="0"/>
          <w:sz w:val="30"/>
          <w:szCs w:val="30"/>
          <w:shd w:val="clear" w:fill="FFFFFF"/>
        </w:rPr>
        <w:t>个，省级质控中心</w:t>
      </w:r>
      <w:r>
        <w:rPr>
          <w:rFonts w:hint="eastAsia" w:ascii="仿宋" w:hAnsi="仿宋" w:eastAsia="仿宋" w:cs="仿宋"/>
          <w:i w:val="0"/>
          <w:iCs w:val="0"/>
          <w:caps w:val="0"/>
          <w:color w:val="000000"/>
          <w:spacing w:val="0"/>
          <w:sz w:val="30"/>
          <w:szCs w:val="30"/>
        </w:rPr>
        <w:t>17</w:t>
      </w:r>
      <w:r>
        <w:rPr>
          <w:rFonts w:hint="eastAsia" w:ascii="仿宋" w:hAnsi="仿宋" w:eastAsia="仿宋" w:cs="仿宋"/>
          <w:i w:val="0"/>
          <w:iCs w:val="0"/>
          <w:caps w:val="0"/>
          <w:color w:val="000000"/>
          <w:spacing w:val="0"/>
          <w:sz w:val="30"/>
          <w:szCs w:val="30"/>
          <w:shd w:val="clear" w:fill="FFFFFF"/>
        </w:rPr>
        <w:t>个</w:t>
      </w:r>
    </w:p>
    <w:p>
      <w:pPr>
        <w:shd w:val="clear" w:color="auto" w:fill="FFFFFF"/>
        <w:autoSpaceDE w:val="0"/>
        <w:autoSpaceDN w:val="0"/>
        <w:snapToGrid w:val="0"/>
        <w:spacing w:beforeLines="50" w:afterLines="50" w:line="360" w:lineRule="auto"/>
        <w:ind w:firstLine="600" w:firstLineChars="200"/>
        <w:contextualSpacing/>
        <w:jc w:val="both"/>
        <w:rPr>
          <w:rFonts w:ascii="楷体" w:hAnsi="楷体" w:eastAsia="楷体" w:cs="楷体"/>
          <w:kern w:val="2"/>
          <w:sz w:val="30"/>
          <w:szCs w:val="30"/>
          <w:lang w:val="en-US" w:eastAsia="zh-CN" w:bidi="ar-SA"/>
        </w:rPr>
      </w:pPr>
      <w:r>
        <w:rPr>
          <w:rFonts w:ascii="楷体" w:hAnsi="楷体" w:eastAsia="楷体" w:cs="楷体"/>
          <w:kern w:val="2"/>
          <w:sz w:val="30"/>
          <w:szCs w:val="30"/>
          <w:lang w:val="en-US" w:eastAsia="zh-CN" w:bidi="ar-SA"/>
        </w:rPr>
        <w:t>（二）2021年度重点工作任务介绍</w:t>
      </w:r>
    </w:p>
    <w:p>
      <w:pPr>
        <w:shd w:val="clear" w:color="auto" w:fill="FFFFFF"/>
        <w:autoSpaceDE w:val="0"/>
        <w:autoSpaceDN w:val="0"/>
        <w:snapToGrid w:val="0"/>
        <w:spacing w:beforeLines="50" w:afterLines="50" w:line="360" w:lineRule="auto"/>
        <w:ind w:firstLine="600" w:firstLineChars="200"/>
        <w:contextualSpacing/>
        <w:jc w:val="both"/>
        <w:rPr>
          <w:rFonts w:hint="eastAsia" w:ascii="仿宋" w:hAnsi="仿宋" w:eastAsia="仿宋" w:cs="仿宋"/>
          <w:sz w:val="30"/>
          <w:szCs w:val="30"/>
        </w:rPr>
      </w:pPr>
      <w:r>
        <w:rPr>
          <w:rFonts w:hint="eastAsia" w:ascii="仿宋" w:hAnsi="仿宋" w:eastAsia="仿宋" w:cs="仿宋"/>
          <w:sz w:val="30"/>
          <w:szCs w:val="30"/>
          <w:lang w:val="en-US" w:eastAsia="zh-CN"/>
        </w:rPr>
        <w:t>1.</w:t>
      </w:r>
      <w:r>
        <w:rPr>
          <w:rFonts w:hint="eastAsia" w:ascii="仿宋" w:hAnsi="仿宋" w:eastAsia="仿宋" w:cs="仿宋"/>
          <w:sz w:val="30"/>
          <w:szCs w:val="30"/>
        </w:rPr>
        <w:t>持续抓好疫情常态化防控。完善院内三级防控体系，实现闭环管理；抓细院感防控，落实个人防护，成立感控督导员队伍；线上线下融合核酸检测流程，牵头设置疫苗接种点，先后派出41批共计160余人次赴瑞丽支援新冠疫情救治工作。快速处置呈贡医院疫情工作，做到“领导有力、组织缜密、处置及时、方法科学、结果可喜”。</w:t>
      </w:r>
    </w:p>
    <w:p>
      <w:p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2.</w:t>
      </w:r>
      <w:r>
        <w:rPr>
          <w:rFonts w:hint="eastAsia" w:ascii="仿宋" w:hAnsi="仿宋" w:eastAsia="仿宋" w:cs="仿宋"/>
          <w:sz w:val="30"/>
          <w:szCs w:val="30"/>
        </w:rPr>
        <w:t>综合管理水平不断提升。坚决贯彻党委领导下的院长负责制，制定医院《章程》、修订《院长办公会议事规则》。严格落实三级公立医院绩效考核要求，在省级绩效考核结果评价中位列第一。规范医院经济业务活动，推进全面预算管理，开展合同归口管理，设立内控专员。创新建立高值耗材全流程闭环智能管理新模式，建立健全药品采购相关制度17个，所有药品严格通过集采平台采购。人才队伍活力有效激发，7人入选省“两类”人才、2人获批省政府特殊津贴、选拔推荐国家青拔、国家中青年创新人才、国家杰出专业技术人才3人。不断完善信息系统功能，加强数据中心建设。严格国际交流合作管理，做好平安留学、外籍患者收治等工作。</w:t>
      </w:r>
    </w:p>
    <w:p>
      <w:pPr>
        <w:spacing w:line="600" w:lineRule="exact"/>
        <w:ind w:firstLine="645"/>
        <w:rPr>
          <w:rFonts w:hint="eastAsia" w:ascii="仿宋" w:hAnsi="仿宋" w:eastAsia="仿宋" w:cs="仿宋"/>
          <w:sz w:val="30"/>
          <w:szCs w:val="30"/>
        </w:rPr>
      </w:pPr>
      <w:r>
        <w:rPr>
          <w:rFonts w:hint="eastAsia" w:ascii="仿宋" w:hAnsi="仿宋" w:eastAsia="仿宋" w:cs="仿宋"/>
          <w:sz w:val="30"/>
          <w:szCs w:val="30"/>
          <w:lang w:val="en-US" w:eastAsia="zh-CN"/>
        </w:rPr>
        <w:t>3.</w:t>
      </w:r>
      <w:r>
        <w:rPr>
          <w:rFonts w:hint="eastAsia" w:ascii="仿宋" w:hAnsi="仿宋" w:eastAsia="仿宋" w:cs="仿宋"/>
          <w:sz w:val="30"/>
          <w:szCs w:val="30"/>
        </w:rPr>
        <w:t>科学编制 “十四五”规划。将四川大学华西医院作为对标对表对象，在总规的基础上配套医、教、研、人才、学科等7个子规划。同时，与中国移动合作编制信息化建设“十四五”规划，做好医院信息化建设的顶层设计，提升信息化系统对医院决策管理和运营的支撑作用。</w:t>
      </w:r>
    </w:p>
    <w:p>
      <w:pPr>
        <w:spacing w:line="600" w:lineRule="exact"/>
        <w:ind w:firstLine="645"/>
        <w:rPr>
          <w:rFonts w:hint="eastAsia" w:ascii="仿宋" w:hAnsi="仿宋" w:eastAsia="仿宋" w:cs="仿宋"/>
          <w:color w:val="000000"/>
          <w:sz w:val="30"/>
          <w:szCs w:val="30"/>
          <w:lang w:eastAsia="zh-CN"/>
        </w:rPr>
      </w:pPr>
      <w:r>
        <w:rPr>
          <w:rFonts w:hint="eastAsia" w:ascii="仿宋" w:hAnsi="仿宋" w:eastAsia="仿宋" w:cs="仿宋"/>
          <w:sz w:val="30"/>
          <w:szCs w:val="30"/>
          <w:lang w:val="en-US" w:eastAsia="zh-CN"/>
        </w:rPr>
        <w:t>4.</w:t>
      </w:r>
      <w:r>
        <w:rPr>
          <w:rFonts w:hint="eastAsia" w:ascii="仿宋" w:hAnsi="仿宋" w:eastAsia="仿宋" w:cs="仿宋"/>
          <w:sz w:val="30"/>
          <w:szCs w:val="30"/>
        </w:rPr>
        <w:t>医疗质量和服务水平不断提升。落实改革要求，不断提升诊疗技术和服务水平，开展新技术、新项目88项，开展MDT诊疗工作63次，新增病种团队13个，开展器官移植手术82例，器官捐献10例</w:t>
      </w:r>
      <w:r>
        <w:rPr>
          <w:rFonts w:hint="eastAsia" w:ascii="仿宋" w:hAnsi="仿宋" w:eastAsia="仿宋" w:cs="仿宋"/>
          <w:color w:val="auto"/>
          <w:sz w:val="30"/>
          <w:szCs w:val="30"/>
        </w:rPr>
        <w:t>。CMI值1.4</w:t>
      </w:r>
      <w:r>
        <w:rPr>
          <w:rFonts w:hint="eastAsia" w:ascii="仿宋" w:hAnsi="仿宋" w:eastAsia="仿宋" w:cs="仿宋"/>
          <w:color w:val="auto"/>
          <w:sz w:val="30"/>
          <w:szCs w:val="30"/>
          <w:lang w:val="en-US" w:eastAsia="zh-CN"/>
        </w:rPr>
        <w:t>959</w:t>
      </w:r>
      <w:r>
        <w:rPr>
          <w:rFonts w:hint="eastAsia" w:ascii="仿宋" w:hAnsi="仿宋" w:eastAsia="仿宋" w:cs="仿宋"/>
          <w:color w:val="auto"/>
          <w:sz w:val="30"/>
          <w:szCs w:val="30"/>
        </w:rPr>
        <w:t>，</w:t>
      </w:r>
      <w:r>
        <w:rPr>
          <w:rFonts w:hint="eastAsia" w:ascii="仿宋" w:hAnsi="仿宋" w:eastAsia="仿宋" w:cs="仿宋"/>
          <w:sz w:val="30"/>
          <w:szCs w:val="30"/>
        </w:rPr>
        <w:t>低风险死亡率0.002%，三四级手术占比56.70%，DRGs组数748组</w:t>
      </w:r>
      <w:r>
        <w:rPr>
          <w:rFonts w:hint="eastAsia" w:ascii="仿宋" w:hAnsi="仿宋" w:eastAsia="仿宋" w:cs="仿宋"/>
          <w:sz w:val="30"/>
          <w:szCs w:val="30"/>
          <w:lang w:val="en-US" w:eastAsia="zh-CN"/>
        </w:rPr>
        <w:t>.</w:t>
      </w:r>
      <w:r>
        <w:rPr>
          <w:rFonts w:hint="eastAsia" w:ascii="仿宋" w:hAnsi="仿宋" w:eastAsia="仿宋" w:cs="仿宋"/>
          <w:sz w:val="30"/>
          <w:szCs w:val="30"/>
        </w:rPr>
        <w:t>成功申报国家紧急医学救援基地建设项目，完成国家心脑血管疑难病诊治能力提升工程建设项目</w:t>
      </w:r>
      <w:r>
        <w:rPr>
          <w:rFonts w:hint="eastAsia" w:ascii="仿宋" w:hAnsi="仿宋" w:eastAsia="仿宋" w:cs="仿宋"/>
          <w:sz w:val="30"/>
          <w:szCs w:val="30"/>
          <w:lang w:eastAsia="zh-CN"/>
        </w:rPr>
        <w:t>、</w:t>
      </w:r>
      <w:r>
        <w:rPr>
          <w:rFonts w:hint="eastAsia" w:ascii="仿宋" w:hAnsi="仿宋" w:eastAsia="仿宋" w:cs="仿宋"/>
          <w:sz w:val="30"/>
          <w:szCs w:val="30"/>
        </w:rPr>
        <w:t>国家医保贯标工作，做好智慧医保切换并实现全国联网结算。开展“互联网+护理服务”试点工作。加强呈贡医院建设</w:t>
      </w:r>
      <w:r>
        <w:rPr>
          <w:rFonts w:hint="eastAsia" w:ascii="仿宋" w:hAnsi="仿宋" w:eastAsia="仿宋" w:cs="仿宋"/>
          <w:bCs/>
          <w:sz w:val="30"/>
          <w:szCs w:val="30"/>
        </w:rPr>
        <w:t>推进医疗服务同质化，</w:t>
      </w:r>
      <w:r>
        <w:rPr>
          <w:rFonts w:hint="eastAsia" w:ascii="仿宋" w:hAnsi="仿宋" w:eastAsia="仿宋" w:cs="仿宋"/>
          <w:sz w:val="30"/>
          <w:szCs w:val="30"/>
        </w:rPr>
        <w:t>健康管理中心服务能力提升，</w:t>
      </w:r>
      <w:r>
        <w:rPr>
          <w:rFonts w:hint="eastAsia" w:ascii="仿宋" w:hAnsi="仿宋" w:eastAsia="仿宋" w:cs="仿宋"/>
          <w:bCs/>
          <w:sz w:val="30"/>
          <w:szCs w:val="30"/>
        </w:rPr>
        <w:t>腔镜中心工作有效推进。</w:t>
      </w:r>
      <w:r>
        <w:rPr>
          <w:rFonts w:hint="eastAsia" w:ascii="仿宋" w:hAnsi="仿宋" w:eastAsia="仿宋" w:cs="仿宋"/>
          <w:sz w:val="30"/>
          <w:szCs w:val="30"/>
        </w:rPr>
        <w:t>新成立3个学科联盟，目前有21个学科联盟、91个基层专家工作站</w:t>
      </w:r>
      <w:r>
        <w:rPr>
          <w:rFonts w:hint="eastAsia" w:ascii="仿宋" w:hAnsi="仿宋" w:eastAsia="仿宋" w:cs="仿宋"/>
          <w:sz w:val="30"/>
          <w:szCs w:val="30"/>
          <w:lang w:eastAsia="zh-CN"/>
        </w:rPr>
        <w:t>。</w:t>
      </w:r>
    </w:p>
    <w:p>
      <w:p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5.</w:t>
      </w:r>
      <w:r>
        <w:rPr>
          <w:rFonts w:hint="eastAsia" w:ascii="仿宋" w:hAnsi="仿宋" w:eastAsia="仿宋" w:cs="仿宋"/>
          <w:sz w:val="30"/>
          <w:szCs w:val="30"/>
        </w:rPr>
        <w:t>教学和学生管理工作不断夯实。积极推进“双一流”建设和学分制改革，加强医教协同。牵头完成昆明医科大学教育部第五轮临床医学学科评估申报，牵头完成省教育厅2021年本科专业综合评价工作，稳步推进教务管理系统信息化建设。申报大学生创业创新项目20项，获全国医学生技术技能大赛三等奖。获全国MBBS全英文讲课比赛一等奖，获国家级教育教改课题3项，申报校级教研教改项目147项。积极推进研究生培养和住院医师规范化培训，获批研究生创新基金项目78项，住院医师结业考试首考通过率93%，住培基地通过评估，内科、外科、急诊科被遴选为国家住院医师规范化培训重点专业基地，获批91项继续医学教育项目。</w:t>
      </w:r>
    </w:p>
    <w:p>
      <w:p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6.</w:t>
      </w:r>
      <w:r>
        <w:rPr>
          <w:rFonts w:hint="eastAsia" w:ascii="仿宋" w:hAnsi="仿宋" w:eastAsia="仿宋" w:cs="仿宋"/>
          <w:sz w:val="30"/>
          <w:szCs w:val="30"/>
        </w:rPr>
        <w:t>科研</w:t>
      </w:r>
      <w:r>
        <w:rPr>
          <w:rFonts w:hint="eastAsia" w:ascii="仿宋" w:hAnsi="仿宋" w:eastAsia="仿宋" w:cs="仿宋"/>
          <w:bCs/>
          <w:kern w:val="0"/>
          <w:sz w:val="30"/>
          <w:szCs w:val="30"/>
        </w:rPr>
        <w:t>产出稳中有升。</w:t>
      </w:r>
      <w:r>
        <w:rPr>
          <w:rFonts w:hint="eastAsia" w:ascii="仿宋" w:hAnsi="仿宋" w:eastAsia="仿宋" w:cs="仿宋"/>
          <w:sz w:val="30"/>
          <w:szCs w:val="30"/>
        </w:rPr>
        <w:t>申报各类科研项目725项，其中，国家自然科学基金有效申报数达到350项，立项42项，较2020年翻了一番；获外来科研经费4115.82万元，立项数和资助经费数均创历史新高，保持云南省医疗卫生机构之首。荣获云南省卫生科技成果奖8项，其中一等奖1项、二等奖3项，获中国医院协会医院科技创新二等奖，获奖等级和数量保持云南省医疗卫生机构之首。</w:t>
      </w:r>
    </w:p>
    <w:p>
      <w:p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7.</w:t>
      </w:r>
      <w:r>
        <w:rPr>
          <w:rFonts w:hint="eastAsia" w:ascii="仿宋" w:hAnsi="仿宋" w:eastAsia="仿宋" w:cs="仿宋"/>
          <w:sz w:val="30"/>
          <w:szCs w:val="30"/>
        </w:rPr>
        <w:t>推进清廉医院建设。加强执纪监督，落实 “重要决策部署到哪里、重点工作开展到哪里、权利运行到哪里、大额资金使用到哪里、问题出现在哪里、监督就到哪里”的要求。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right="0" w:firstLine="600" w:firstLineChars="200"/>
        <w:jc w:val="left"/>
        <w:rPr>
          <w:rFonts w:hint="eastAsia" w:ascii="仿宋" w:hAnsi="仿宋" w:eastAsia="仿宋" w:cs="仿宋"/>
          <w:sz w:val="30"/>
          <w:szCs w:val="30"/>
        </w:rPr>
      </w:pPr>
      <w:r>
        <w:rPr>
          <w:rFonts w:hint="eastAsia" w:ascii="仿宋" w:hAnsi="仿宋" w:eastAsia="仿宋" w:cs="仿宋"/>
          <w:sz w:val="30"/>
          <w:szCs w:val="30"/>
          <w:lang w:val="en-US" w:eastAsia="zh-CN"/>
        </w:rPr>
        <w:t>8.</w:t>
      </w:r>
      <w:r>
        <w:rPr>
          <w:rFonts w:hint="eastAsia" w:ascii="仿宋" w:hAnsi="仿宋" w:eastAsia="仿宋" w:cs="仿宋"/>
          <w:sz w:val="30"/>
          <w:szCs w:val="30"/>
        </w:rPr>
        <w:t>医院排名稳居复旦榜西南前五。三级公立医院绩效考核位列73位，科研基金（国家自然科学基金）排名全国43位，教学论文发表数居全国第9。</w:t>
      </w:r>
    </w:p>
    <w:p>
      <w:pPr>
        <w:pStyle w:val="6"/>
        <w:spacing w:before="240" w:after="240" w:line="590" w:lineRule="atLeast"/>
        <w:ind w:firstLine="600"/>
      </w:pPr>
      <w:r>
        <w:rPr>
          <w:rFonts w:ascii="黑体" w:hAnsi="黑体" w:eastAsia="黑体" w:cs="黑体"/>
          <w:sz w:val="30"/>
          <w:szCs w:val="30"/>
        </w:rPr>
        <w:t>二、部门基本情况</w:t>
      </w:r>
    </w:p>
    <w:p>
      <w:pPr>
        <w:pStyle w:val="6"/>
        <w:spacing w:before="240" w:after="240" w:line="590" w:lineRule="atLeast"/>
        <w:ind w:firstLine="600"/>
      </w:pPr>
      <w:r>
        <w:rPr>
          <w:rFonts w:ascii="楷体" w:hAnsi="楷体" w:eastAsia="楷体" w:cs="楷体"/>
          <w:sz w:val="30"/>
          <w:szCs w:val="30"/>
        </w:rPr>
        <w:t>（一）部门决算单位构成</w:t>
      </w:r>
    </w:p>
    <w:p>
      <w:pPr>
        <w:pStyle w:val="6"/>
        <w:spacing w:before="240" w:after="240" w:line="600" w:lineRule="atLeast"/>
        <w:ind w:firstLine="600"/>
        <w:rPr>
          <w:rFonts w:hint="eastAsia" w:eastAsia="仿宋"/>
          <w:lang w:eastAsia="zh-CN"/>
        </w:rPr>
      </w:pPr>
      <w:r>
        <w:rPr>
          <w:rFonts w:ascii="仿宋" w:hAnsi="仿宋" w:eastAsia="仿宋" w:cs="仿宋"/>
          <w:sz w:val="30"/>
          <w:szCs w:val="30"/>
        </w:rPr>
        <w:t>纳入昆明医科大学第一附属医院部门2021年度部门决算编报的单位共1个。其中：</w:t>
      </w:r>
      <w:r>
        <w:rPr>
          <w:rFonts w:hint="eastAsia" w:ascii="仿宋" w:hAnsi="仿宋" w:eastAsia="仿宋" w:cs="仿宋"/>
          <w:sz w:val="30"/>
          <w:szCs w:val="30"/>
          <w:lang w:eastAsia="zh-CN"/>
        </w:rPr>
        <w:t>行政单位</w:t>
      </w:r>
      <w:r>
        <w:rPr>
          <w:rFonts w:hint="eastAsia" w:ascii="仿宋" w:hAnsi="仿宋" w:eastAsia="仿宋" w:cs="仿宋"/>
          <w:sz w:val="30"/>
          <w:szCs w:val="30"/>
          <w:lang w:val="en-US" w:eastAsia="zh-CN"/>
        </w:rPr>
        <w:t>0个，参照公务员法管理的事业单位0个，</w:t>
      </w:r>
      <w:r>
        <w:rPr>
          <w:rFonts w:ascii="仿宋" w:hAnsi="仿宋" w:eastAsia="仿宋" w:cs="仿宋"/>
          <w:sz w:val="30"/>
          <w:szCs w:val="30"/>
        </w:rPr>
        <w:t>其他事业单位</w:t>
      </w:r>
      <w:r>
        <w:rPr>
          <w:rFonts w:hint="eastAsia" w:ascii="仿宋" w:hAnsi="仿宋" w:eastAsia="仿宋" w:cs="仿宋"/>
          <w:color w:val="auto"/>
          <w:sz w:val="30"/>
          <w:szCs w:val="30"/>
          <w:lang w:val="en-US" w:eastAsia="zh-CN"/>
        </w:rPr>
        <w:t>1</w:t>
      </w:r>
      <w:r>
        <w:rPr>
          <w:rFonts w:ascii="仿宋" w:hAnsi="仿宋" w:eastAsia="仿宋" w:cs="仿宋"/>
          <w:sz w:val="30"/>
          <w:szCs w:val="30"/>
        </w:rPr>
        <w:t>个</w:t>
      </w:r>
      <w:r>
        <w:rPr>
          <w:rFonts w:hint="eastAsia" w:ascii="仿宋" w:hAnsi="仿宋" w:eastAsia="仿宋" w:cs="仿宋"/>
          <w:sz w:val="30"/>
          <w:szCs w:val="30"/>
          <w:lang w:eastAsia="zh-CN"/>
        </w:rPr>
        <w:t>，为昆明医科大学第一附属医院。</w:t>
      </w:r>
    </w:p>
    <w:p>
      <w:pPr>
        <w:pStyle w:val="6"/>
        <w:spacing w:before="240" w:after="240" w:line="590" w:lineRule="atLeast"/>
        <w:ind w:firstLine="600"/>
        <w:rPr>
          <w:sz w:val="30"/>
          <w:szCs w:val="30"/>
        </w:rPr>
      </w:pPr>
      <w:r>
        <w:rPr>
          <w:rFonts w:ascii="楷体" w:hAnsi="楷体" w:eastAsia="楷体" w:cs="楷体"/>
          <w:sz w:val="30"/>
          <w:szCs w:val="30"/>
        </w:rPr>
        <w:t>（二）部门人员和车辆的编制及实有情况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jc w:val="left"/>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kern w:val="0"/>
          <w:sz w:val="30"/>
          <w:szCs w:val="30"/>
          <w:shd w:val="clear" w:fill="FFFFFF"/>
          <w:lang w:val="en-US" w:eastAsia="zh-CN" w:bidi="ar"/>
        </w:rPr>
        <w:t>昆明医科大学第一附属医院2021年末实有人员编制</w:t>
      </w:r>
      <w:r>
        <w:rPr>
          <w:rFonts w:hint="eastAsia" w:ascii="仿宋" w:hAnsi="仿宋" w:eastAsia="仿宋" w:cs="仿宋"/>
          <w:sz w:val="30"/>
          <w:szCs w:val="30"/>
        </w:rPr>
        <w:t>2229</w:t>
      </w:r>
      <w:r>
        <w:rPr>
          <w:rFonts w:hint="eastAsia" w:ascii="仿宋" w:hAnsi="仿宋" w:eastAsia="仿宋" w:cs="仿宋"/>
          <w:i w:val="0"/>
          <w:iCs w:val="0"/>
          <w:caps w:val="0"/>
          <w:color w:val="000000"/>
          <w:spacing w:val="0"/>
          <w:kern w:val="0"/>
          <w:sz w:val="30"/>
          <w:szCs w:val="30"/>
          <w:shd w:val="clear" w:fill="FFFFFF"/>
          <w:lang w:val="en-US" w:eastAsia="zh-CN" w:bidi="ar"/>
        </w:rPr>
        <w:t>人。其中：事业编制</w:t>
      </w:r>
      <w:r>
        <w:rPr>
          <w:rFonts w:hint="eastAsia" w:ascii="仿宋" w:hAnsi="仿宋" w:eastAsia="仿宋" w:cs="仿宋"/>
          <w:sz w:val="30"/>
          <w:szCs w:val="30"/>
        </w:rPr>
        <w:t>2229</w:t>
      </w:r>
      <w:r>
        <w:rPr>
          <w:rFonts w:hint="eastAsia" w:ascii="仿宋" w:hAnsi="仿宋" w:eastAsia="仿宋" w:cs="仿宋"/>
          <w:i w:val="0"/>
          <w:iCs w:val="0"/>
          <w:caps w:val="0"/>
          <w:color w:val="000000"/>
          <w:spacing w:val="0"/>
          <w:kern w:val="0"/>
          <w:sz w:val="30"/>
          <w:szCs w:val="30"/>
          <w:shd w:val="clear" w:fill="FFFFFF"/>
          <w:lang w:val="en-US" w:eastAsia="zh-CN" w:bidi="ar"/>
        </w:rPr>
        <w:t>人。2021年末在职在编人员2094人。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jc w:val="left"/>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kern w:val="0"/>
          <w:sz w:val="30"/>
          <w:szCs w:val="30"/>
          <w:shd w:val="clear" w:fill="FFFFFF"/>
          <w:lang w:val="en-US" w:eastAsia="zh-CN" w:bidi="ar"/>
        </w:rPr>
        <w:t>离退休人员1067人。其中：离休15人，退休1052人。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jc w:val="left"/>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实有车辆编制20辆，</w:t>
      </w:r>
      <w:r>
        <w:rPr>
          <w:rFonts w:hint="eastAsia" w:ascii="仿宋" w:hAnsi="仿宋" w:eastAsia="仿宋" w:cs="仿宋"/>
          <w:i w:val="0"/>
          <w:iCs w:val="0"/>
          <w:caps w:val="0"/>
          <w:color w:val="000000"/>
          <w:spacing w:val="0"/>
          <w:kern w:val="0"/>
          <w:sz w:val="30"/>
          <w:szCs w:val="30"/>
          <w:shd w:val="clear" w:fill="FFFFFF"/>
          <w:lang w:val="en-US" w:eastAsia="zh-CN" w:bidi="ar"/>
        </w:rPr>
        <w:t>在编实有车辆20辆。</w:t>
      </w:r>
    </w:p>
    <w:p>
      <w:pPr>
        <w:pStyle w:val="6"/>
        <w:spacing w:before="240" w:after="240" w:line="590" w:lineRule="atLeast"/>
        <w:jc w:val="center"/>
      </w:pPr>
      <w:r>
        <w:rPr>
          <w:rFonts w:ascii="黑体" w:hAnsi="黑体" w:eastAsia="黑体" w:cs="黑体"/>
          <w:sz w:val="32"/>
          <w:szCs w:val="32"/>
        </w:rPr>
        <w:t>第二部分</w:t>
      </w:r>
      <w:r>
        <w:rPr>
          <w:rFonts w:hint="eastAsia" w:ascii="黑体" w:hAnsi="黑体" w:eastAsia="黑体" w:cs="黑体"/>
          <w:sz w:val="32"/>
          <w:szCs w:val="32"/>
          <w:lang w:val="en-US" w:eastAsia="zh-CN"/>
        </w:rPr>
        <w:t xml:space="preserve"> </w:t>
      </w:r>
      <w:r>
        <w:rPr>
          <w:rFonts w:ascii="黑体" w:hAnsi="黑体" w:eastAsia="黑体" w:cs="黑体"/>
          <w:sz w:val="32"/>
          <w:szCs w:val="32"/>
        </w:rPr>
        <w:t>2021年度部门决算表</w:t>
      </w:r>
    </w:p>
    <w:p>
      <w:pPr>
        <w:pStyle w:val="6"/>
        <w:spacing w:before="240" w:after="240" w:line="590" w:lineRule="atLeast"/>
        <w:ind w:firstLine="600"/>
        <w:jc w:val="center"/>
        <w:rPr>
          <w:color w:val="000000" w:themeColor="text1"/>
          <w:sz w:val="30"/>
          <w:szCs w:val="30"/>
          <w14:textFill>
            <w14:solidFill>
              <w14:schemeClr w14:val="tx1"/>
            </w14:solidFill>
          </w14:textFill>
        </w:rPr>
      </w:pPr>
      <w:r>
        <w:rPr>
          <w:rFonts w:ascii="仿宋" w:hAnsi="仿宋" w:eastAsia="仿宋" w:cs="仿宋"/>
          <w:color w:val="000000" w:themeColor="text1"/>
          <w:sz w:val="30"/>
          <w:szCs w:val="30"/>
          <w14:textFill>
            <w14:solidFill>
              <w14:schemeClr w14:val="tx1"/>
            </w14:solidFill>
          </w14:textFill>
        </w:rPr>
        <w:t>（详见附件）</w:t>
      </w:r>
    </w:p>
    <w:p>
      <w:pPr>
        <w:pStyle w:val="6"/>
        <w:spacing w:before="240" w:after="240" w:line="590" w:lineRule="atLeast"/>
        <w:jc w:val="center"/>
      </w:pPr>
      <w:r>
        <w:rPr>
          <w:rFonts w:ascii="黑体" w:hAnsi="黑体" w:eastAsia="黑体" w:cs="黑体"/>
          <w:sz w:val="32"/>
          <w:szCs w:val="32"/>
        </w:rPr>
        <w:t>第三部分 2021年度部门决算情况说明</w:t>
      </w:r>
    </w:p>
    <w:p>
      <w:pPr>
        <w:pStyle w:val="6"/>
        <w:spacing w:before="240" w:after="240" w:line="590" w:lineRule="atLeast"/>
        <w:ind w:firstLine="600"/>
        <w:jc w:val="left"/>
      </w:pPr>
      <w:r>
        <w:rPr>
          <w:rFonts w:ascii="黑体" w:hAnsi="黑体" w:eastAsia="黑体" w:cs="黑体"/>
          <w:sz w:val="30"/>
          <w:szCs w:val="30"/>
        </w:rPr>
        <w:t>一、收入决算情况说明</w:t>
      </w:r>
    </w:p>
    <w:p>
      <w:pPr>
        <w:spacing w:line="360" w:lineRule="auto"/>
        <w:ind w:firstLine="600" w:firstLineChars="200"/>
        <w:rPr>
          <w:rFonts w:hint="eastAsia" w:ascii="仿宋" w:hAnsi="仿宋" w:eastAsia="仿宋" w:cs="仿宋"/>
          <w:color w:val="000000" w:themeColor="text1"/>
          <w:sz w:val="30"/>
          <w:szCs w:val="30"/>
          <w14:textFill>
            <w14:solidFill>
              <w14:schemeClr w14:val="tx1"/>
            </w14:solidFill>
          </w14:textFill>
        </w:rPr>
      </w:pPr>
      <w:r>
        <w:rPr>
          <w:rFonts w:ascii="仿宋" w:hAnsi="仿宋" w:eastAsia="仿宋" w:cs="仿宋"/>
          <w:sz w:val="30"/>
          <w:szCs w:val="30"/>
        </w:rPr>
        <w:t>昆明医科大学第一附属医院部门2021年度收入合计448,605.16万元。其中：财政拨款收入57,849.82万元，占总收入的12.90%；上级补助收入0万元，占总收入的0.00%；事业收入386,058.08万元（含教育收费0万元），占总收入的86.06%；经营收入0万元，占总收入的0%；附属单位缴款收入0万元，占总收入的0%；其他收入4,697.27万元，占总收入的1.05%。</w:t>
      </w:r>
      <w:r>
        <w:rPr>
          <w:rFonts w:hint="eastAsia" w:ascii="仿宋" w:hAnsi="仿宋" w:eastAsia="仿宋" w:cs="仿宋"/>
          <w:sz w:val="30"/>
          <w:szCs w:val="30"/>
        </w:rPr>
        <w:t>与20</w:t>
      </w:r>
      <w:r>
        <w:rPr>
          <w:rFonts w:hint="eastAsia" w:ascii="仿宋" w:hAnsi="仿宋" w:eastAsia="仿宋" w:cs="仿宋"/>
          <w:sz w:val="30"/>
          <w:szCs w:val="30"/>
          <w:lang w:val="en-US" w:eastAsia="zh-CN"/>
        </w:rPr>
        <w:t>20</w:t>
      </w:r>
      <w:r>
        <w:rPr>
          <w:rFonts w:hint="eastAsia" w:ascii="仿宋" w:hAnsi="仿宋" w:eastAsia="仿宋" w:cs="仿宋"/>
          <w:sz w:val="30"/>
          <w:szCs w:val="30"/>
        </w:rPr>
        <w:t>相比总收入增加</w:t>
      </w:r>
      <w:r>
        <w:rPr>
          <w:rFonts w:hint="eastAsia" w:ascii="仿宋" w:hAnsi="仿宋" w:eastAsia="仿宋" w:cs="仿宋"/>
          <w:sz w:val="30"/>
          <w:szCs w:val="30"/>
          <w:lang w:val="en-US" w:eastAsia="zh-CN"/>
        </w:rPr>
        <w:t>63</w:t>
      </w:r>
      <w:r>
        <w:rPr>
          <w:rFonts w:ascii="仿宋" w:hAnsi="仿宋" w:eastAsia="仿宋" w:cs="仿宋"/>
          <w:sz w:val="30"/>
          <w:szCs w:val="30"/>
        </w:rPr>
        <w:t>,</w:t>
      </w:r>
      <w:r>
        <w:rPr>
          <w:rFonts w:hint="eastAsia" w:ascii="仿宋" w:hAnsi="仿宋" w:eastAsia="仿宋" w:cs="仿宋"/>
          <w:sz w:val="30"/>
          <w:szCs w:val="30"/>
          <w:lang w:val="en-US" w:eastAsia="zh-CN"/>
        </w:rPr>
        <w:t>746.95</w:t>
      </w:r>
      <w:r>
        <w:rPr>
          <w:rFonts w:hint="eastAsia" w:ascii="仿宋" w:hAnsi="仿宋" w:eastAsia="仿宋" w:cs="仿宋"/>
          <w:sz w:val="30"/>
          <w:szCs w:val="30"/>
        </w:rPr>
        <w:t>万元，增长率</w:t>
      </w:r>
      <w:r>
        <w:rPr>
          <w:rFonts w:hint="eastAsia" w:ascii="仿宋" w:hAnsi="仿宋" w:eastAsia="仿宋" w:cs="仿宋"/>
          <w:sz w:val="30"/>
          <w:szCs w:val="30"/>
          <w:lang w:val="en-US" w:eastAsia="zh-CN"/>
        </w:rPr>
        <w:t>16.56</w:t>
      </w:r>
      <w:r>
        <w:rPr>
          <w:rFonts w:hint="eastAsia" w:ascii="仿宋" w:hAnsi="仿宋" w:eastAsia="仿宋" w:cs="仿宋"/>
          <w:sz w:val="30"/>
          <w:szCs w:val="30"/>
        </w:rPr>
        <w:t>%</w:t>
      </w:r>
      <w:r>
        <w:rPr>
          <w:rFonts w:hint="eastAsia" w:ascii="仿宋" w:hAnsi="仿宋" w:eastAsia="仿宋" w:cs="仿宋"/>
          <w:i w:val="0"/>
          <w:iCs w:val="0"/>
          <w:caps w:val="0"/>
          <w:color w:val="000000"/>
          <w:spacing w:val="0"/>
          <w:kern w:val="0"/>
          <w:sz w:val="30"/>
          <w:szCs w:val="30"/>
          <w:shd w:val="clear" w:fill="FFFFFF"/>
          <w:lang w:val="en-US" w:eastAsia="zh-CN" w:bidi="ar"/>
        </w:rPr>
        <w:t>。其中</w:t>
      </w:r>
      <w:r>
        <w:rPr>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t>财政拨款收入比</w:t>
      </w:r>
      <w:r>
        <w:rPr>
          <w:rFonts w:hint="eastAsia" w:ascii="仿宋" w:hAnsi="仿宋" w:eastAsia="仿宋" w:cs="仿宋"/>
          <w:color w:val="000000" w:themeColor="text1"/>
          <w:sz w:val="30"/>
          <w:szCs w:val="30"/>
          <w:lang w:val="en-US" w:eastAsia="zh-CN"/>
          <w14:textFill>
            <w14:solidFill>
              <w14:schemeClr w14:val="tx1"/>
            </w14:solidFill>
          </w14:textFill>
        </w:rPr>
        <w:t>2020</w:t>
      </w:r>
      <w:r>
        <w:rPr>
          <w:rFonts w:hint="eastAsia" w:ascii="仿宋" w:hAnsi="仿宋" w:eastAsia="仿宋" w:cs="仿宋"/>
          <w:color w:val="000000" w:themeColor="text1"/>
          <w:sz w:val="30"/>
          <w:szCs w:val="30"/>
          <w14:textFill>
            <w14:solidFill>
              <w14:schemeClr w14:val="tx1"/>
            </w14:solidFill>
          </w14:textFill>
        </w:rPr>
        <w:t>年</w:t>
      </w:r>
      <w:r>
        <w:rPr>
          <w:rFonts w:hint="eastAsia" w:ascii="仿宋" w:hAnsi="仿宋" w:eastAsia="仿宋" w:cs="仿宋"/>
          <w:color w:val="000000" w:themeColor="text1"/>
          <w:sz w:val="30"/>
          <w:szCs w:val="30"/>
          <w:lang w:eastAsia="zh-CN"/>
          <w14:textFill>
            <w14:solidFill>
              <w14:schemeClr w14:val="tx1"/>
            </w14:solidFill>
          </w14:textFill>
        </w:rPr>
        <w:t>减少</w:t>
      </w:r>
      <w:r>
        <w:rPr>
          <w:rFonts w:hint="eastAsia" w:ascii="仿宋" w:hAnsi="仿宋" w:eastAsia="仿宋" w:cs="仿宋"/>
          <w:color w:val="000000" w:themeColor="text1"/>
          <w:sz w:val="30"/>
          <w:szCs w:val="30"/>
          <w:lang w:val="en-US" w:eastAsia="zh-CN"/>
          <w14:textFill>
            <w14:solidFill>
              <w14:schemeClr w14:val="tx1"/>
            </w14:solidFill>
          </w14:textFill>
        </w:rPr>
        <w:t>3</w:t>
      </w:r>
      <w:r>
        <w:rPr>
          <w:rFonts w:ascii="仿宋" w:hAnsi="仿宋" w:eastAsia="仿宋" w:cs="仿宋"/>
          <w:sz w:val="30"/>
          <w:szCs w:val="30"/>
        </w:rPr>
        <w:t>,</w:t>
      </w:r>
      <w:r>
        <w:rPr>
          <w:rFonts w:hint="eastAsia" w:ascii="仿宋" w:hAnsi="仿宋" w:eastAsia="仿宋" w:cs="仿宋"/>
          <w:color w:val="000000" w:themeColor="text1"/>
          <w:sz w:val="30"/>
          <w:szCs w:val="30"/>
          <w:lang w:val="en-US" w:eastAsia="zh-CN"/>
          <w14:textFill>
            <w14:solidFill>
              <w14:schemeClr w14:val="tx1"/>
            </w14:solidFill>
          </w14:textFill>
        </w:rPr>
        <w:t>903.26</w:t>
      </w:r>
      <w:r>
        <w:rPr>
          <w:rFonts w:hint="eastAsia" w:ascii="仿宋" w:hAnsi="仿宋" w:eastAsia="仿宋" w:cs="仿宋"/>
          <w:color w:val="000000" w:themeColor="text1"/>
          <w:sz w:val="30"/>
          <w:szCs w:val="30"/>
          <w14:textFill>
            <w14:solidFill>
              <w14:schemeClr w14:val="tx1"/>
            </w14:solidFill>
          </w14:textFill>
        </w:rPr>
        <w:t>万元，</w:t>
      </w:r>
      <w:r>
        <w:rPr>
          <w:rFonts w:hint="eastAsia" w:ascii="仿宋" w:hAnsi="仿宋" w:eastAsia="仿宋" w:cs="仿宋"/>
          <w:color w:val="000000" w:themeColor="text1"/>
          <w:sz w:val="30"/>
          <w:szCs w:val="30"/>
          <w:lang w:eastAsia="zh-CN"/>
          <w14:textFill>
            <w14:solidFill>
              <w14:schemeClr w14:val="tx1"/>
            </w14:solidFill>
          </w14:textFill>
        </w:rPr>
        <w:t>下降</w:t>
      </w:r>
      <w:r>
        <w:rPr>
          <w:rFonts w:hint="eastAsia" w:ascii="仿宋" w:hAnsi="仿宋" w:eastAsia="仿宋" w:cs="仿宋"/>
          <w:color w:val="000000" w:themeColor="text1"/>
          <w:sz w:val="30"/>
          <w:szCs w:val="30"/>
          <w:lang w:val="en-US" w:eastAsia="zh-CN"/>
          <w14:textFill>
            <w14:solidFill>
              <w14:schemeClr w14:val="tx1"/>
            </w14:solidFill>
          </w14:textFill>
        </w:rPr>
        <w:t>6.32</w:t>
      </w:r>
      <w:r>
        <w:rPr>
          <w:rFonts w:hint="eastAsia" w:ascii="仿宋" w:hAnsi="仿宋" w:eastAsia="仿宋" w:cs="仿宋"/>
          <w:color w:val="000000" w:themeColor="text1"/>
          <w:sz w:val="30"/>
          <w:szCs w:val="30"/>
          <w14:textFill>
            <w14:solidFill>
              <w14:schemeClr w14:val="tx1"/>
            </w14:solidFill>
          </w14:textFill>
        </w:rPr>
        <w:t>%；</w:t>
      </w:r>
      <w:r>
        <w:rPr>
          <w:rFonts w:hint="eastAsia" w:ascii="仿宋" w:hAnsi="仿宋" w:eastAsia="仿宋" w:cs="仿宋"/>
          <w:color w:val="000000" w:themeColor="text1"/>
          <w:kern w:val="2"/>
          <w:sz w:val="30"/>
          <w:szCs w:val="30"/>
          <w14:textFill>
            <w14:solidFill>
              <w14:schemeClr w14:val="tx1"/>
            </w14:solidFill>
          </w14:textFill>
        </w:rPr>
        <w:t>202</w:t>
      </w:r>
      <w:r>
        <w:rPr>
          <w:rFonts w:hint="eastAsia" w:ascii="仿宋" w:hAnsi="仿宋" w:eastAsia="仿宋" w:cs="仿宋"/>
          <w:color w:val="000000" w:themeColor="text1"/>
          <w:kern w:val="2"/>
          <w:sz w:val="30"/>
          <w:szCs w:val="30"/>
          <w:lang w:val="en-US" w:eastAsia="zh-CN"/>
          <w14:textFill>
            <w14:solidFill>
              <w14:schemeClr w14:val="tx1"/>
            </w14:solidFill>
          </w14:textFill>
        </w:rPr>
        <w:t>1</w:t>
      </w:r>
      <w:r>
        <w:rPr>
          <w:rFonts w:hint="eastAsia" w:ascii="仿宋" w:hAnsi="仿宋" w:eastAsia="仿宋" w:cs="仿宋"/>
          <w:color w:val="000000" w:themeColor="text1"/>
          <w:kern w:val="2"/>
          <w:sz w:val="30"/>
          <w:szCs w:val="30"/>
          <w14:textFill>
            <w14:solidFill>
              <w14:schemeClr w14:val="tx1"/>
            </w14:solidFill>
          </w14:textFill>
        </w:rPr>
        <w:t>年事业预算收入较去年同期</w:t>
      </w:r>
      <w:r>
        <w:rPr>
          <w:rFonts w:hint="eastAsia" w:ascii="仿宋" w:hAnsi="仿宋" w:eastAsia="仿宋" w:cs="仿宋"/>
          <w:color w:val="000000" w:themeColor="text1"/>
          <w:kern w:val="2"/>
          <w:sz w:val="30"/>
          <w:szCs w:val="30"/>
          <w:lang w:eastAsia="zh-CN"/>
          <w14:textFill>
            <w14:solidFill>
              <w14:schemeClr w14:val="tx1"/>
            </w14:solidFill>
          </w14:textFill>
        </w:rPr>
        <w:t>增加</w:t>
      </w:r>
      <w:r>
        <w:rPr>
          <w:rFonts w:hint="eastAsia" w:ascii="仿宋" w:hAnsi="仿宋" w:eastAsia="仿宋" w:cs="仿宋"/>
          <w:color w:val="000000" w:themeColor="text1"/>
          <w:kern w:val="2"/>
          <w:sz w:val="30"/>
          <w:szCs w:val="30"/>
          <w:lang w:val="en-US" w:eastAsia="zh-CN"/>
          <w14:textFill>
            <w14:solidFill>
              <w14:schemeClr w14:val="tx1"/>
            </w14:solidFill>
          </w14:textFill>
        </w:rPr>
        <w:t>67</w:t>
      </w:r>
      <w:r>
        <w:rPr>
          <w:rFonts w:ascii="仿宋" w:hAnsi="仿宋" w:eastAsia="仿宋" w:cs="仿宋"/>
          <w:sz w:val="30"/>
          <w:szCs w:val="30"/>
        </w:rPr>
        <w:t>,</w:t>
      </w:r>
      <w:r>
        <w:rPr>
          <w:rFonts w:hint="eastAsia" w:ascii="仿宋" w:hAnsi="仿宋" w:eastAsia="仿宋" w:cs="仿宋"/>
          <w:color w:val="000000" w:themeColor="text1"/>
          <w:kern w:val="2"/>
          <w:sz w:val="30"/>
          <w:szCs w:val="30"/>
          <w:lang w:val="en-US" w:eastAsia="zh-CN"/>
          <w14:textFill>
            <w14:solidFill>
              <w14:schemeClr w14:val="tx1"/>
            </w14:solidFill>
          </w14:textFill>
        </w:rPr>
        <w:t>985.64</w:t>
      </w:r>
      <w:r>
        <w:rPr>
          <w:rFonts w:hint="eastAsia" w:ascii="仿宋" w:hAnsi="仿宋" w:eastAsia="仿宋" w:cs="仿宋"/>
          <w:color w:val="000000" w:themeColor="text1"/>
          <w:kern w:val="2"/>
          <w:sz w:val="30"/>
          <w:szCs w:val="30"/>
          <w14:textFill>
            <w14:solidFill>
              <w14:schemeClr w14:val="tx1"/>
            </w14:solidFill>
          </w14:textFill>
        </w:rPr>
        <w:t>万元，</w:t>
      </w:r>
      <w:r>
        <w:rPr>
          <w:rFonts w:hint="eastAsia" w:ascii="仿宋" w:hAnsi="仿宋" w:eastAsia="仿宋" w:cs="仿宋"/>
          <w:color w:val="000000" w:themeColor="text1"/>
          <w:sz w:val="30"/>
          <w:szCs w:val="30"/>
          <w14:textFill>
            <w14:solidFill>
              <w14:schemeClr w14:val="tx1"/>
            </w14:solidFill>
          </w14:textFill>
        </w:rPr>
        <w:t>增长</w:t>
      </w:r>
      <w:r>
        <w:rPr>
          <w:rFonts w:hint="eastAsia" w:ascii="仿宋" w:hAnsi="仿宋" w:eastAsia="仿宋" w:cs="仿宋"/>
          <w:b w:val="0"/>
          <w:bCs w:val="0"/>
          <w:color w:val="000000" w:themeColor="text1"/>
          <w:sz w:val="30"/>
          <w:szCs w:val="30"/>
          <w14:textFill>
            <w14:solidFill>
              <w14:schemeClr w14:val="tx1"/>
            </w14:solidFill>
          </w14:textFill>
        </w:rPr>
        <w:t>率</w:t>
      </w:r>
      <w:r>
        <w:rPr>
          <w:rFonts w:hint="eastAsia" w:ascii="仿宋" w:hAnsi="仿宋" w:eastAsia="仿宋" w:cs="仿宋"/>
          <w:b w:val="0"/>
          <w:bCs w:val="0"/>
          <w:color w:val="000000" w:themeColor="text1"/>
          <w:sz w:val="30"/>
          <w:szCs w:val="30"/>
          <w:lang w:val="en-US" w:eastAsia="zh-CN"/>
          <w14:textFill>
            <w14:solidFill>
              <w14:schemeClr w14:val="tx1"/>
            </w14:solidFill>
          </w14:textFill>
        </w:rPr>
        <w:t>21.37</w:t>
      </w:r>
      <w:r>
        <w:rPr>
          <w:rFonts w:hint="eastAsia" w:ascii="仿宋" w:hAnsi="仿宋" w:eastAsia="仿宋" w:cs="仿宋"/>
          <w:b w:val="0"/>
          <w:bCs w:val="0"/>
          <w:color w:val="000000" w:themeColor="text1"/>
          <w:sz w:val="30"/>
          <w:szCs w:val="30"/>
          <w14:textFill>
            <w14:solidFill>
              <w14:schemeClr w14:val="tx1"/>
            </w14:solidFill>
          </w14:textFill>
        </w:rPr>
        <w:t>%</w:t>
      </w:r>
      <w:r>
        <w:rPr>
          <w:rFonts w:hint="eastAsia" w:ascii="仿宋" w:hAnsi="仿宋" w:eastAsia="仿宋" w:cs="仿宋"/>
          <w:b w:val="0"/>
          <w:bCs w:val="0"/>
          <w:color w:val="000000" w:themeColor="text1"/>
          <w:kern w:val="2"/>
          <w:sz w:val="30"/>
          <w:szCs w:val="30"/>
          <w14:textFill>
            <w14:solidFill>
              <w14:schemeClr w14:val="tx1"/>
            </w14:solidFill>
          </w14:textFill>
        </w:rPr>
        <w:t>；其他收入比20</w:t>
      </w:r>
      <w:r>
        <w:rPr>
          <w:rFonts w:hint="eastAsia" w:ascii="仿宋" w:hAnsi="仿宋" w:eastAsia="仿宋" w:cs="仿宋"/>
          <w:b w:val="0"/>
          <w:bCs w:val="0"/>
          <w:color w:val="000000" w:themeColor="text1"/>
          <w:kern w:val="2"/>
          <w:sz w:val="30"/>
          <w:szCs w:val="30"/>
          <w:lang w:val="en-US" w:eastAsia="zh-CN"/>
          <w14:textFill>
            <w14:solidFill>
              <w14:schemeClr w14:val="tx1"/>
            </w14:solidFill>
          </w14:textFill>
        </w:rPr>
        <w:t>20</w:t>
      </w:r>
      <w:r>
        <w:rPr>
          <w:rFonts w:hint="eastAsia" w:ascii="仿宋" w:hAnsi="仿宋" w:eastAsia="仿宋" w:cs="仿宋"/>
          <w:b w:val="0"/>
          <w:bCs w:val="0"/>
          <w:color w:val="000000" w:themeColor="text1"/>
          <w:kern w:val="2"/>
          <w:sz w:val="30"/>
          <w:szCs w:val="30"/>
          <w14:textFill>
            <w14:solidFill>
              <w14:schemeClr w14:val="tx1"/>
            </w14:solidFill>
          </w14:textFill>
        </w:rPr>
        <w:t>年减少</w:t>
      </w:r>
      <w:r>
        <w:rPr>
          <w:rFonts w:hint="eastAsia" w:ascii="仿宋" w:hAnsi="仿宋" w:eastAsia="仿宋" w:cs="仿宋"/>
          <w:b w:val="0"/>
          <w:bCs w:val="0"/>
          <w:color w:val="000000" w:themeColor="text1"/>
          <w:kern w:val="2"/>
          <w:sz w:val="30"/>
          <w:szCs w:val="30"/>
          <w:lang w:val="en-US" w:eastAsia="zh-CN"/>
          <w14:textFill>
            <w14:solidFill>
              <w14:schemeClr w14:val="tx1"/>
            </w14:solidFill>
          </w14:textFill>
        </w:rPr>
        <w:t>335.42</w:t>
      </w:r>
      <w:r>
        <w:rPr>
          <w:rFonts w:hint="eastAsia" w:ascii="仿宋" w:hAnsi="仿宋" w:eastAsia="仿宋" w:cs="仿宋"/>
          <w:b w:val="0"/>
          <w:bCs w:val="0"/>
          <w:color w:val="000000" w:themeColor="text1"/>
          <w:kern w:val="2"/>
          <w:sz w:val="30"/>
          <w:szCs w:val="30"/>
          <w14:textFill>
            <w14:solidFill>
              <w14:schemeClr w14:val="tx1"/>
            </w14:solidFill>
          </w14:textFill>
        </w:rPr>
        <w:t>万元。</w:t>
      </w:r>
      <w:r>
        <w:rPr>
          <w:rFonts w:hint="eastAsia" w:ascii="仿宋" w:hAnsi="仿宋" w:eastAsia="仿宋" w:cs="仿宋"/>
          <w:b w:val="0"/>
          <w:bCs w:val="0"/>
          <w:color w:val="000000" w:themeColor="text1"/>
          <w:kern w:val="0"/>
          <w:sz w:val="30"/>
          <w:szCs w:val="30"/>
          <w14:textFill>
            <w14:solidFill>
              <w14:schemeClr w14:val="tx1"/>
            </w14:solidFill>
          </w14:textFill>
        </w:rPr>
        <w:t>202</w:t>
      </w:r>
      <w:r>
        <w:rPr>
          <w:rFonts w:hint="eastAsia" w:ascii="仿宋" w:hAnsi="仿宋" w:eastAsia="仿宋" w:cs="仿宋"/>
          <w:color w:val="000000" w:themeColor="text1"/>
          <w:kern w:val="0"/>
          <w:sz w:val="30"/>
          <w:szCs w:val="30"/>
          <w14:textFill>
            <w14:solidFill>
              <w14:schemeClr w14:val="tx1"/>
            </w14:solidFill>
          </w14:textFill>
        </w:rPr>
        <w:t>1年</w:t>
      </w:r>
      <w:r>
        <w:rPr>
          <w:rFonts w:hint="eastAsia" w:ascii="仿宋" w:hAnsi="仿宋" w:eastAsia="仿宋" w:cs="仿宋"/>
          <w:color w:val="000000" w:themeColor="text1"/>
          <w:kern w:val="2"/>
          <w:sz w:val="30"/>
          <w:szCs w:val="30"/>
          <w14:textFill>
            <w14:solidFill>
              <w14:schemeClr w14:val="tx1"/>
            </w14:solidFill>
          </w14:textFill>
        </w:rPr>
        <w:t>总收入增加</w:t>
      </w:r>
      <w:r>
        <w:rPr>
          <w:rFonts w:hint="eastAsia" w:ascii="仿宋" w:hAnsi="仿宋" w:eastAsia="仿宋" w:cs="仿宋"/>
          <w:color w:val="000000" w:themeColor="text1"/>
          <w:kern w:val="2"/>
          <w:sz w:val="30"/>
          <w:szCs w:val="30"/>
          <w:lang w:eastAsia="zh-CN"/>
          <w14:textFill>
            <w14:solidFill>
              <w14:schemeClr w14:val="tx1"/>
            </w14:solidFill>
          </w14:textFill>
        </w:rPr>
        <w:t>主要是</w:t>
      </w:r>
      <w:r>
        <w:rPr>
          <w:rFonts w:hint="eastAsia" w:ascii="仿宋" w:hAnsi="仿宋" w:eastAsia="仿宋" w:cs="仿宋"/>
          <w:color w:val="000000" w:themeColor="text1"/>
          <w:kern w:val="0"/>
          <w:sz w:val="30"/>
          <w:szCs w:val="30"/>
          <w14:textFill>
            <w14:solidFill>
              <w14:schemeClr w14:val="tx1"/>
            </w14:solidFill>
          </w14:textFill>
        </w:rPr>
        <w:t>医院在新的领导班子带领下，</w:t>
      </w:r>
      <w:r>
        <w:rPr>
          <w:rFonts w:hint="eastAsia" w:ascii="仿宋" w:hAnsi="仿宋" w:eastAsia="仿宋" w:cs="仿宋"/>
          <w:color w:val="000000" w:themeColor="text1"/>
          <w:sz w:val="30"/>
          <w:szCs w:val="30"/>
          <w14:textFill>
            <w14:solidFill>
              <w14:schemeClr w14:val="tx1"/>
            </w14:solidFill>
          </w14:textFill>
        </w:rPr>
        <w:t>努力提升医疗质量和工作效率，医院工作成果显著提升，2021年事业预算收入较去年同期增加</w:t>
      </w:r>
      <w:r>
        <w:rPr>
          <w:rFonts w:hint="eastAsia" w:ascii="仿宋" w:hAnsi="仿宋" w:eastAsia="仿宋" w:cs="仿宋"/>
          <w:color w:val="000000" w:themeColor="text1"/>
          <w:sz w:val="30"/>
          <w:szCs w:val="30"/>
          <w:lang w:val="en-US" w:eastAsia="zh-CN"/>
          <w14:textFill>
            <w14:solidFill>
              <w14:schemeClr w14:val="tx1"/>
            </w14:solidFill>
          </w14:textFill>
        </w:rPr>
        <w:t>67</w:t>
      </w:r>
      <w:r>
        <w:rPr>
          <w:rFonts w:ascii="仿宋" w:hAnsi="仿宋" w:eastAsia="仿宋" w:cs="仿宋"/>
          <w:sz w:val="30"/>
          <w:szCs w:val="30"/>
        </w:rPr>
        <w:t>,</w:t>
      </w:r>
      <w:r>
        <w:rPr>
          <w:rFonts w:hint="eastAsia" w:ascii="仿宋" w:hAnsi="仿宋" w:eastAsia="仿宋" w:cs="仿宋"/>
          <w:color w:val="000000" w:themeColor="text1"/>
          <w:sz w:val="30"/>
          <w:szCs w:val="30"/>
          <w:lang w:val="en-US" w:eastAsia="zh-CN"/>
          <w14:textFill>
            <w14:solidFill>
              <w14:schemeClr w14:val="tx1"/>
            </w14:solidFill>
          </w14:textFill>
        </w:rPr>
        <w:t>985.64</w:t>
      </w:r>
      <w:r>
        <w:rPr>
          <w:rFonts w:hint="eastAsia" w:ascii="仿宋" w:hAnsi="仿宋" w:eastAsia="仿宋" w:cs="仿宋"/>
          <w:color w:val="000000" w:themeColor="text1"/>
          <w:sz w:val="30"/>
          <w:szCs w:val="30"/>
          <w:lang w:eastAsia="zh-CN"/>
          <w14:textFill>
            <w14:solidFill>
              <w14:schemeClr w14:val="tx1"/>
            </w14:solidFill>
          </w14:textFill>
        </w:rPr>
        <w:t>万</w:t>
      </w:r>
      <w:r>
        <w:rPr>
          <w:rFonts w:hint="eastAsia" w:ascii="仿宋" w:hAnsi="仿宋" w:eastAsia="仿宋" w:cs="仿宋"/>
          <w:color w:val="000000" w:themeColor="text1"/>
          <w:sz w:val="30"/>
          <w:szCs w:val="30"/>
          <w14:textFill>
            <w14:solidFill>
              <w14:schemeClr w14:val="tx1"/>
            </w14:solidFill>
          </w14:textFill>
        </w:rPr>
        <w:t>元，增幅</w:t>
      </w:r>
      <w:r>
        <w:rPr>
          <w:rFonts w:hint="eastAsia" w:ascii="仿宋" w:hAnsi="仿宋" w:eastAsia="仿宋" w:cs="仿宋"/>
          <w:color w:val="000000" w:themeColor="text1"/>
          <w:sz w:val="30"/>
          <w:szCs w:val="30"/>
          <w:lang w:val="en-US" w:eastAsia="zh-CN"/>
          <w14:textFill>
            <w14:solidFill>
              <w14:schemeClr w14:val="tx1"/>
            </w14:solidFill>
          </w14:textFill>
        </w:rPr>
        <w:t>21.37</w:t>
      </w:r>
      <w:r>
        <w:rPr>
          <w:rFonts w:hint="eastAsia" w:ascii="仿宋" w:hAnsi="仿宋" w:eastAsia="仿宋" w:cs="仿宋"/>
          <w:color w:val="000000" w:themeColor="text1"/>
          <w:sz w:val="30"/>
          <w:szCs w:val="30"/>
          <w14:textFill>
            <w14:solidFill>
              <w14:schemeClr w14:val="tx1"/>
            </w14:solidFill>
          </w14:textFill>
        </w:rPr>
        <w:t>%。</w:t>
      </w:r>
    </w:p>
    <w:p>
      <w:pPr>
        <w:numPr>
          <w:ilvl w:val="0"/>
          <w:numId w:val="1"/>
        </w:numPr>
        <w:spacing w:line="360" w:lineRule="auto"/>
        <w:ind w:firstLine="600" w:firstLineChars="200"/>
        <w:rPr>
          <w:rFonts w:ascii="黑体" w:hAnsi="黑体" w:eastAsia="黑体" w:cs="黑体"/>
          <w:sz w:val="30"/>
          <w:szCs w:val="30"/>
        </w:rPr>
      </w:pPr>
      <w:r>
        <w:rPr>
          <w:rFonts w:ascii="黑体" w:hAnsi="黑体" w:eastAsia="黑体" w:cs="黑体"/>
          <w:sz w:val="30"/>
          <w:szCs w:val="30"/>
        </w:rPr>
        <w:t>支出决算情况说明</w:t>
      </w:r>
    </w:p>
    <w:p>
      <w:pPr>
        <w:pStyle w:val="6"/>
        <w:spacing w:before="240" w:after="240" w:line="590" w:lineRule="atLeast"/>
        <w:ind w:firstLine="600"/>
      </w:pPr>
      <w:r>
        <w:rPr>
          <w:rFonts w:ascii="仿宋" w:hAnsi="仿宋" w:eastAsia="仿宋" w:cs="仿宋"/>
          <w:sz w:val="30"/>
          <w:szCs w:val="30"/>
        </w:rPr>
        <w:t>昆明医科大学第一附属医院部门2021年度支出合计443,038.68万元。其中：基本支出371,318.29万元，占总支出的83.81%；项目支出71,720.38万元，占总支出的16.19%；上缴上级支出、经营支出、对附属单位补助支出共0万元，占总支出的0%。</w:t>
      </w:r>
      <w:r>
        <w:rPr>
          <w:rFonts w:hint="eastAsia" w:ascii="仿宋" w:hAnsi="仿宋" w:eastAsia="仿宋" w:cs="仿宋"/>
          <w:sz w:val="30"/>
          <w:szCs w:val="30"/>
        </w:rPr>
        <w:t>与20</w:t>
      </w:r>
      <w:r>
        <w:rPr>
          <w:rFonts w:hint="eastAsia" w:ascii="仿宋" w:hAnsi="仿宋" w:eastAsia="仿宋" w:cs="仿宋"/>
          <w:sz w:val="30"/>
          <w:szCs w:val="30"/>
          <w:lang w:val="en-US" w:eastAsia="zh-CN"/>
        </w:rPr>
        <w:t>20</w:t>
      </w:r>
      <w:r>
        <w:rPr>
          <w:rFonts w:hint="eastAsia" w:ascii="仿宋" w:hAnsi="仿宋" w:eastAsia="仿宋" w:cs="仿宋"/>
          <w:sz w:val="30"/>
          <w:szCs w:val="30"/>
        </w:rPr>
        <w:t>年对比总支出增加了</w:t>
      </w:r>
      <w:r>
        <w:rPr>
          <w:rFonts w:hint="eastAsia" w:ascii="仿宋" w:hAnsi="仿宋" w:eastAsia="仿宋" w:cs="仿宋"/>
          <w:sz w:val="30"/>
          <w:szCs w:val="30"/>
          <w:lang w:val="en-US" w:eastAsia="zh-CN"/>
        </w:rPr>
        <w:t>28</w:t>
      </w:r>
      <w:r>
        <w:rPr>
          <w:rFonts w:ascii="仿宋" w:hAnsi="仿宋" w:eastAsia="仿宋" w:cs="仿宋"/>
          <w:sz w:val="30"/>
          <w:szCs w:val="30"/>
        </w:rPr>
        <w:t>,</w:t>
      </w:r>
      <w:r>
        <w:rPr>
          <w:rFonts w:hint="eastAsia" w:ascii="仿宋" w:hAnsi="仿宋" w:eastAsia="仿宋" w:cs="仿宋"/>
          <w:sz w:val="30"/>
          <w:szCs w:val="30"/>
          <w:lang w:val="en-US" w:eastAsia="zh-CN"/>
        </w:rPr>
        <w:t>174.07</w:t>
      </w:r>
      <w:r>
        <w:rPr>
          <w:rFonts w:hint="eastAsia" w:ascii="仿宋" w:hAnsi="仿宋" w:eastAsia="仿宋" w:cs="仿宋"/>
          <w:sz w:val="30"/>
          <w:szCs w:val="30"/>
        </w:rPr>
        <w:t>万元，增长率</w:t>
      </w:r>
      <w:r>
        <w:rPr>
          <w:rFonts w:hint="eastAsia" w:ascii="仿宋" w:hAnsi="仿宋" w:eastAsia="仿宋" w:cs="仿宋"/>
          <w:sz w:val="30"/>
          <w:szCs w:val="30"/>
          <w:lang w:val="en-US" w:eastAsia="zh-CN"/>
        </w:rPr>
        <w:t>6.79</w:t>
      </w:r>
      <w:r>
        <w:rPr>
          <w:rFonts w:hint="eastAsia" w:ascii="仿宋" w:hAnsi="仿宋" w:eastAsia="仿宋" w:cs="仿宋"/>
          <w:sz w:val="30"/>
          <w:szCs w:val="30"/>
        </w:rPr>
        <w:t>%，其中：基本支出</w:t>
      </w:r>
      <w:r>
        <w:rPr>
          <w:rFonts w:hint="eastAsia" w:ascii="仿宋" w:hAnsi="仿宋" w:eastAsia="仿宋" w:cs="仿宋"/>
          <w:sz w:val="30"/>
          <w:szCs w:val="30"/>
          <w:lang w:val="en-US" w:eastAsia="zh-CN"/>
        </w:rPr>
        <w:t>增加41</w:t>
      </w:r>
      <w:r>
        <w:rPr>
          <w:rFonts w:ascii="仿宋" w:hAnsi="仿宋" w:eastAsia="仿宋" w:cs="仿宋"/>
          <w:sz w:val="30"/>
          <w:szCs w:val="30"/>
        </w:rPr>
        <w:t>,</w:t>
      </w:r>
      <w:r>
        <w:rPr>
          <w:rFonts w:hint="eastAsia" w:ascii="仿宋" w:hAnsi="仿宋" w:eastAsia="仿宋" w:cs="仿宋"/>
          <w:sz w:val="30"/>
          <w:szCs w:val="30"/>
          <w:lang w:val="en-US" w:eastAsia="zh-CN"/>
        </w:rPr>
        <w:t>138.46</w:t>
      </w:r>
      <w:r>
        <w:rPr>
          <w:rFonts w:hint="eastAsia" w:ascii="仿宋" w:hAnsi="仿宋" w:eastAsia="仿宋" w:cs="仿宋"/>
          <w:sz w:val="30"/>
          <w:szCs w:val="30"/>
        </w:rPr>
        <w:t>万元</w:t>
      </w:r>
      <w:r>
        <w:rPr>
          <w:rFonts w:hint="eastAsia" w:ascii="仿宋" w:hAnsi="仿宋" w:eastAsia="仿宋" w:cs="仿宋"/>
          <w:sz w:val="30"/>
          <w:szCs w:val="30"/>
          <w:lang w:eastAsia="zh-CN"/>
        </w:rPr>
        <w:t>，主要是因为</w:t>
      </w:r>
      <w:r>
        <w:rPr>
          <w:rFonts w:hint="eastAsia" w:ascii="仿宋" w:hAnsi="仿宋" w:eastAsia="仿宋" w:cs="仿宋"/>
          <w:sz w:val="30"/>
          <w:szCs w:val="30"/>
          <w:lang w:val="en-US" w:eastAsia="zh-CN"/>
        </w:rPr>
        <w:t>2021年</w:t>
      </w:r>
      <w:r>
        <w:rPr>
          <w:rFonts w:hint="eastAsia" w:ascii="仿宋" w:hAnsi="仿宋" w:eastAsia="仿宋" w:cs="仿宋"/>
          <w:color w:val="000000" w:themeColor="text1"/>
          <w:sz w:val="30"/>
          <w:szCs w:val="30"/>
          <w14:textFill>
            <w14:solidFill>
              <w14:schemeClr w14:val="tx1"/>
            </w14:solidFill>
          </w14:textFill>
        </w:rPr>
        <w:t>事业预算收入较去年同期增幅</w:t>
      </w:r>
      <w:r>
        <w:rPr>
          <w:rFonts w:hint="eastAsia" w:ascii="仿宋" w:hAnsi="仿宋" w:eastAsia="仿宋" w:cs="仿宋"/>
          <w:color w:val="000000" w:themeColor="text1"/>
          <w:sz w:val="30"/>
          <w:szCs w:val="30"/>
          <w:lang w:val="en-US" w:eastAsia="zh-CN"/>
          <w14:textFill>
            <w14:solidFill>
              <w14:schemeClr w14:val="tx1"/>
            </w14:solidFill>
          </w14:textFill>
        </w:rPr>
        <w:t>21.37</w:t>
      </w:r>
      <w:r>
        <w:rPr>
          <w:rFonts w:hint="eastAsia" w:ascii="仿宋" w:hAnsi="仿宋" w:eastAsia="仿宋" w:cs="仿宋"/>
          <w:color w:val="000000" w:themeColor="text1"/>
          <w:sz w:val="30"/>
          <w:szCs w:val="30"/>
          <w14:textFill>
            <w14:solidFill>
              <w14:schemeClr w14:val="tx1"/>
            </w14:solidFill>
          </w14:textFill>
        </w:rPr>
        <w:t>%</w:t>
      </w:r>
      <w:r>
        <w:rPr>
          <w:rFonts w:hint="eastAsia" w:ascii="仿宋" w:hAnsi="仿宋" w:eastAsia="仿宋" w:cs="仿宋"/>
          <w:color w:val="000000" w:themeColor="text1"/>
          <w:sz w:val="30"/>
          <w:szCs w:val="30"/>
          <w:lang w:eastAsia="zh-CN"/>
          <w14:textFill>
            <w14:solidFill>
              <w14:schemeClr w14:val="tx1"/>
            </w14:solidFill>
          </w14:textFill>
        </w:rPr>
        <w:t>，配比支出也相应增加。</w:t>
      </w:r>
      <w:r>
        <w:rPr>
          <w:rFonts w:hint="eastAsia" w:ascii="仿宋" w:hAnsi="仿宋" w:eastAsia="仿宋" w:cs="仿宋"/>
          <w:sz w:val="30"/>
          <w:szCs w:val="30"/>
        </w:rPr>
        <w:t>项目支出</w:t>
      </w:r>
      <w:r>
        <w:rPr>
          <w:rFonts w:hint="eastAsia" w:ascii="仿宋" w:hAnsi="仿宋" w:eastAsia="仿宋" w:cs="仿宋"/>
          <w:sz w:val="30"/>
          <w:szCs w:val="30"/>
          <w:lang w:eastAsia="zh-CN"/>
        </w:rPr>
        <w:t>减少</w:t>
      </w:r>
      <w:r>
        <w:rPr>
          <w:rFonts w:hint="eastAsia" w:ascii="仿宋" w:hAnsi="仿宋" w:eastAsia="仿宋" w:cs="仿宋"/>
          <w:sz w:val="30"/>
          <w:szCs w:val="30"/>
          <w:lang w:val="en-US" w:eastAsia="zh-CN"/>
        </w:rPr>
        <w:t>12</w:t>
      </w:r>
      <w:r>
        <w:rPr>
          <w:rFonts w:ascii="仿宋" w:hAnsi="仿宋" w:eastAsia="仿宋" w:cs="仿宋"/>
          <w:sz w:val="30"/>
          <w:szCs w:val="30"/>
        </w:rPr>
        <w:t>,</w:t>
      </w:r>
      <w:r>
        <w:rPr>
          <w:rFonts w:hint="eastAsia" w:ascii="仿宋" w:hAnsi="仿宋" w:eastAsia="仿宋" w:cs="仿宋"/>
          <w:sz w:val="30"/>
          <w:szCs w:val="30"/>
          <w:lang w:val="en-US" w:eastAsia="zh-CN"/>
        </w:rPr>
        <w:t>964.4</w:t>
      </w:r>
      <w:r>
        <w:rPr>
          <w:rFonts w:hint="eastAsia" w:ascii="仿宋" w:hAnsi="仿宋" w:eastAsia="仿宋" w:cs="仿宋"/>
          <w:sz w:val="30"/>
          <w:szCs w:val="30"/>
        </w:rPr>
        <w:t>万元</w:t>
      </w:r>
      <w:r>
        <w:rPr>
          <w:rFonts w:hint="eastAsia" w:ascii="仿宋" w:hAnsi="仿宋" w:eastAsia="仿宋" w:cs="仿宋"/>
          <w:sz w:val="30"/>
          <w:szCs w:val="30"/>
          <w:lang w:val="en-US" w:eastAsia="zh-CN"/>
        </w:rPr>
        <w:t>,</w:t>
      </w:r>
      <w:r>
        <w:rPr>
          <w:rFonts w:hint="eastAsia" w:ascii="仿宋" w:hAnsi="仿宋" w:eastAsia="仿宋" w:cs="仿宋"/>
          <w:sz w:val="30"/>
          <w:szCs w:val="30"/>
          <w:lang w:eastAsia="zh-CN"/>
        </w:rPr>
        <w:t>主要原因为</w:t>
      </w:r>
      <w:r>
        <w:rPr>
          <w:rFonts w:hint="eastAsia" w:ascii="仿宋" w:hAnsi="仿宋" w:eastAsia="仿宋" w:cs="仿宋"/>
          <w:sz w:val="30"/>
          <w:szCs w:val="30"/>
          <w:lang w:val="en-US" w:eastAsia="zh-CN"/>
        </w:rPr>
        <w:t>2021年财政</w:t>
      </w:r>
      <w:r>
        <w:rPr>
          <w:rFonts w:hint="eastAsia" w:ascii="仿宋" w:hAnsi="仿宋" w:eastAsia="仿宋" w:cs="仿宋"/>
          <w:color w:val="000000" w:themeColor="text1"/>
          <w:sz w:val="30"/>
          <w:szCs w:val="30"/>
          <w14:textFill>
            <w14:solidFill>
              <w14:schemeClr w14:val="tx1"/>
            </w14:solidFill>
          </w14:textFill>
        </w:rPr>
        <w:t>新冠疫情专项补助资金</w:t>
      </w:r>
      <w:r>
        <w:rPr>
          <w:rFonts w:hint="eastAsia" w:ascii="仿宋" w:hAnsi="仿宋" w:eastAsia="仿宋" w:cs="仿宋"/>
          <w:color w:val="000000" w:themeColor="text1"/>
          <w:sz w:val="30"/>
          <w:szCs w:val="30"/>
          <w:lang w:eastAsia="zh-CN"/>
          <w14:textFill>
            <w14:solidFill>
              <w14:schemeClr w14:val="tx1"/>
            </w14:solidFill>
          </w14:textFill>
        </w:rPr>
        <w:t>较去年同期</w:t>
      </w:r>
      <w:r>
        <w:rPr>
          <w:rFonts w:hint="eastAsia" w:ascii="仿宋" w:hAnsi="仿宋" w:eastAsia="仿宋" w:cs="仿宋"/>
          <w:color w:val="000000" w:themeColor="text1"/>
          <w:sz w:val="30"/>
          <w:szCs w:val="30"/>
          <w14:textFill>
            <w14:solidFill>
              <w14:schemeClr w14:val="tx1"/>
            </w14:solidFill>
          </w14:textFill>
        </w:rPr>
        <w:t>减少</w:t>
      </w:r>
      <w:r>
        <w:rPr>
          <w:rFonts w:hint="eastAsia" w:ascii="仿宋" w:hAnsi="仿宋" w:eastAsia="仿宋" w:cs="仿宋"/>
          <w:color w:val="000000" w:themeColor="text1"/>
          <w:sz w:val="30"/>
          <w:szCs w:val="30"/>
          <w:lang w:eastAsia="zh-CN"/>
          <w14:textFill>
            <w14:solidFill>
              <w14:schemeClr w14:val="tx1"/>
            </w14:solidFill>
          </w14:textFill>
        </w:rPr>
        <w:t>，因此项目支出也相应减少。</w:t>
      </w:r>
    </w:p>
    <w:p>
      <w:pPr>
        <w:pStyle w:val="6"/>
        <w:spacing w:before="240" w:after="240" w:line="590" w:lineRule="atLeast"/>
        <w:ind w:firstLine="600"/>
        <w:jc w:val="left"/>
      </w:pPr>
      <w:r>
        <w:rPr>
          <w:rFonts w:ascii="楷体" w:hAnsi="楷体" w:eastAsia="楷体" w:cs="楷体"/>
          <w:sz w:val="30"/>
          <w:szCs w:val="30"/>
        </w:rPr>
        <w:t>（一）基本支出情况</w:t>
      </w:r>
    </w:p>
    <w:p>
      <w:pPr>
        <w:pStyle w:val="6"/>
        <w:spacing w:before="240" w:after="240" w:line="590" w:lineRule="atLeast"/>
        <w:ind w:firstLine="600"/>
        <w:jc w:val="left"/>
      </w:pPr>
      <w:r>
        <w:rPr>
          <w:rFonts w:ascii="仿宋" w:hAnsi="仿宋" w:eastAsia="仿宋" w:cs="仿宋"/>
          <w:sz w:val="30"/>
          <w:szCs w:val="30"/>
        </w:rPr>
        <w:t>2021年度用于保障昆明医科大学第一附属医院机关、下属事业单位等机构正常运转的日常支出371,318.29万元</w:t>
      </w:r>
      <w:r>
        <w:rPr>
          <w:rFonts w:hint="eastAsia" w:ascii="仿宋" w:hAnsi="仿宋" w:eastAsia="仿宋" w:cs="仿宋"/>
          <w:sz w:val="30"/>
          <w:szCs w:val="30"/>
          <w:lang w:eastAsia="zh-CN"/>
        </w:rPr>
        <w:t>，</w:t>
      </w:r>
      <w:r>
        <w:rPr>
          <w:rFonts w:hint="eastAsia" w:ascii="仿宋" w:hAnsi="仿宋" w:eastAsia="仿宋" w:cs="仿宋"/>
          <w:sz w:val="30"/>
          <w:szCs w:val="30"/>
          <w:shd w:val="clear" w:color="auto" w:fill="FFFFFF"/>
        </w:rPr>
        <w:t>较上年</w:t>
      </w:r>
      <w:r>
        <w:rPr>
          <w:rFonts w:hint="eastAsia" w:ascii="仿宋" w:hAnsi="仿宋" w:eastAsia="仿宋" w:cs="仿宋"/>
          <w:sz w:val="30"/>
          <w:szCs w:val="30"/>
          <w:lang w:val="en-US" w:eastAsia="zh-CN"/>
        </w:rPr>
        <w:t>增加41</w:t>
      </w:r>
      <w:r>
        <w:rPr>
          <w:rFonts w:ascii="仿宋" w:hAnsi="仿宋" w:eastAsia="仿宋" w:cs="仿宋"/>
          <w:sz w:val="30"/>
          <w:szCs w:val="30"/>
        </w:rPr>
        <w:t>,</w:t>
      </w:r>
      <w:r>
        <w:rPr>
          <w:rFonts w:hint="eastAsia" w:ascii="仿宋" w:hAnsi="仿宋" w:eastAsia="仿宋" w:cs="仿宋"/>
          <w:sz w:val="30"/>
          <w:szCs w:val="30"/>
          <w:lang w:val="en-US" w:eastAsia="zh-CN"/>
        </w:rPr>
        <w:t>138.46</w:t>
      </w:r>
      <w:r>
        <w:rPr>
          <w:rFonts w:hint="eastAsia" w:ascii="仿宋" w:hAnsi="仿宋" w:eastAsia="仿宋" w:cs="仿宋"/>
          <w:sz w:val="30"/>
          <w:szCs w:val="30"/>
          <w:shd w:val="clear" w:color="auto" w:fill="FFFFFF"/>
        </w:rPr>
        <w:t>万元</w:t>
      </w:r>
      <w:r>
        <w:rPr>
          <w:rFonts w:hint="eastAsia" w:ascii="仿宋" w:hAnsi="仿宋" w:eastAsia="仿宋" w:cs="仿宋"/>
          <w:sz w:val="30"/>
          <w:szCs w:val="30"/>
          <w:shd w:val="clear" w:color="auto" w:fill="FFFFFF"/>
          <w:lang w:eastAsia="zh-CN"/>
        </w:rPr>
        <w:t>。</w:t>
      </w:r>
      <w:r>
        <w:rPr>
          <w:rFonts w:hint="eastAsia" w:ascii="仿宋" w:hAnsi="仿宋" w:eastAsia="仿宋" w:cs="仿宋"/>
          <w:sz w:val="30"/>
          <w:szCs w:val="30"/>
          <w:lang w:eastAsia="zh-CN"/>
        </w:rPr>
        <w:t>主要是因为</w:t>
      </w:r>
      <w:r>
        <w:rPr>
          <w:rFonts w:hint="eastAsia" w:ascii="仿宋" w:hAnsi="仿宋" w:eastAsia="仿宋" w:cs="仿宋"/>
          <w:sz w:val="30"/>
          <w:szCs w:val="30"/>
          <w:lang w:val="en-US" w:eastAsia="zh-CN"/>
        </w:rPr>
        <w:t>2021年事业收入增加，相应的</w:t>
      </w:r>
      <w:r>
        <w:rPr>
          <w:rFonts w:hint="eastAsia" w:ascii="仿宋" w:hAnsi="仿宋" w:eastAsia="仿宋" w:cs="仿宋"/>
          <w:i w:val="0"/>
          <w:iCs w:val="0"/>
          <w:caps w:val="0"/>
          <w:color w:val="000000"/>
          <w:spacing w:val="0"/>
          <w:kern w:val="0"/>
          <w:sz w:val="30"/>
          <w:szCs w:val="30"/>
          <w:shd w:val="clear" w:fill="FFFFFF"/>
          <w:lang w:val="en-US" w:eastAsia="zh-CN" w:bidi="ar"/>
        </w:rPr>
        <w:t>用于保障医院正常运转的日常支出</w:t>
      </w:r>
      <w:r>
        <w:rPr>
          <w:rFonts w:hint="eastAsia" w:ascii="仿宋" w:hAnsi="仿宋" w:eastAsia="仿宋" w:cs="仿宋"/>
          <w:sz w:val="30"/>
          <w:szCs w:val="30"/>
          <w:lang w:val="en-US" w:eastAsia="zh-CN"/>
        </w:rPr>
        <w:t>增加。</w:t>
      </w:r>
      <w:r>
        <w:rPr>
          <w:rFonts w:hint="eastAsia" w:ascii="仿宋" w:hAnsi="仿宋" w:eastAsia="仿宋" w:cs="仿宋"/>
          <w:sz w:val="30"/>
          <w:szCs w:val="30"/>
        </w:rPr>
        <w:t>包括基本工资、津贴补贴等人员经费支</w:t>
      </w:r>
      <w:r>
        <w:rPr>
          <w:rFonts w:ascii="仿宋" w:hAnsi="仿宋" w:eastAsia="仿宋" w:cs="仿宋"/>
          <w:sz w:val="30"/>
          <w:szCs w:val="30"/>
        </w:rPr>
        <w:t>出118,236.14万元，占基本支出的31.84%。办公费、印刷费、水电费、办公设备购置等公用经费253,082.16万元，占基本支出的68.16%</w:t>
      </w:r>
      <w:r>
        <w:rPr>
          <w:rFonts w:ascii="仿宋" w:hAnsi="仿宋" w:eastAsia="仿宋" w:cs="仿宋"/>
          <w:color w:val="000000"/>
          <w:sz w:val="30"/>
          <w:szCs w:val="30"/>
        </w:rPr>
        <w:t>。</w:t>
      </w:r>
    </w:p>
    <w:p>
      <w:pPr>
        <w:pStyle w:val="6"/>
        <w:spacing w:before="240" w:after="240" w:line="590" w:lineRule="atLeast"/>
        <w:ind w:firstLine="600"/>
        <w:jc w:val="left"/>
      </w:pPr>
      <w:r>
        <w:rPr>
          <w:rFonts w:ascii="楷体" w:hAnsi="楷体" w:eastAsia="楷体" w:cs="楷体"/>
          <w:sz w:val="30"/>
          <w:szCs w:val="30"/>
        </w:rPr>
        <w:t>（二）项目支出情况</w:t>
      </w:r>
    </w:p>
    <w:p>
      <w:pPr>
        <w:pStyle w:val="6"/>
        <w:spacing w:before="240" w:after="240" w:line="590" w:lineRule="atLeast"/>
        <w:ind w:firstLine="600"/>
        <w:jc w:val="left"/>
        <w:rPr>
          <w:rFonts w:hint="eastAsia" w:ascii="仿宋" w:hAnsi="仿宋" w:eastAsia="仿宋" w:cs="仿宋"/>
          <w:sz w:val="30"/>
          <w:szCs w:val="30"/>
        </w:rPr>
      </w:pPr>
      <w:r>
        <w:rPr>
          <w:rFonts w:ascii="仿宋" w:hAnsi="仿宋" w:eastAsia="仿宋" w:cs="仿宋"/>
          <w:sz w:val="30"/>
          <w:szCs w:val="30"/>
        </w:rPr>
        <w:t>2021年度用于保障昆明医科大学第一附属医院机构、下属事业单位等机构为完成特定的行政工作任务或事业发展目标，用于专项业务工作的经费支出71,720.38万元。</w:t>
      </w:r>
      <w:r>
        <w:rPr>
          <w:rFonts w:hint="eastAsia" w:ascii="仿宋" w:hAnsi="仿宋" w:eastAsia="仿宋" w:cs="仿宋"/>
          <w:sz w:val="30"/>
          <w:szCs w:val="30"/>
        </w:rPr>
        <w:t>项目支出比</w:t>
      </w:r>
      <w:r>
        <w:rPr>
          <w:rFonts w:hint="eastAsia" w:ascii="仿宋" w:hAnsi="仿宋" w:eastAsia="仿宋" w:cs="仿宋"/>
          <w:sz w:val="30"/>
          <w:szCs w:val="30"/>
          <w:lang w:val="en-US" w:eastAsia="zh-CN"/>
        </w:rPr>
        <w:t>2020</w:t>
      </w:r>
      <w:r>
        <w:rPr>
          <w:rFonts w:hint="eastAsia" w:ascii="仿宋" w:hAnsi="仿宋" w:eastAsia="仿宋" w:cs="仿宋"/>
          <w:sz w:val="30"/>
          <w:szCs w:val="30"/>
        </w:rPr>
        <w:t>年</w:t>
      </w:r>
      <w:r>
        <w:rPr>
          <w:rFonts w:hint="eastAsia" w:ascii="仿宋" w:hAnsi="仿宋" w:eastAsia="仿宋" w:cs="仿宋"/>
          <w:sz w:val="30"/>
          <w:szCs w:val="30"/>
          <w:lang w:eastAsia="zh-CN"/>
        </w:rPr>
        <w:t>减少</w:t>
      </w:r>
      <w:r>
        <w:rPr>
          <w:rFonts w:hint="eastAsia" w:ascii="仿宋" w:hAnsi="仿宋" w:eastAsia="仿宋" w:cs="仿宋"/>
          <w:sz w:val="30"/>
          <w:szCs w:val="30"/>
          <w:lang w:val="en-US" w:eastAsia="zh-CN"/>
        </w:rPr>
        <w:t>12</w:t>
      </w:r>
      <w:r>
        <w:rPr>
          <w:rFonts w:ascii="仿宋" w:hAnsi="仿宋" w:eastAsia="仿宋" w:cs="仿宋"/>
          <w:sz w:val="30"/>
          <w:szCs w:val="30"/>
        </w:rPr>
        <w:t>,</w:t>
      </w:r>
      <w:r>
        <w:rPr>
          <w:rFonts w:hint="eastAsia" w:ascii="仿宋" w:hAnsi="仿宋" w:eastAsia="仿宋" w:cs="仿宋"/>
          <w:sz w:val="30"/>
          <w:szCs w:val="30"/>
          <w:lang w:val="en-US" w:eastAsia="zh-CN"/>
        </w:rPr>
        <w:t>964.4</w:t>
      </w:r>
      <w:r>
        <w:rPr>
          <w:rFonts w:hint="eastAsia" w:ascii="仿宋" w:hAnsi="仿宋" w:eastAsia="仿宋" w:cs="仿宋"/>
          <w:sz w:val="30"/>
          <w:szCs w:val="30"/>
        </w:rPr>
        <w:t>万元。</w:t>
      </w:r>
      <w:r>
        <w:rPr>
          <w:rFonts w:hint="eastAsia" w:ascii="仿宋" w:hAnsi="仿宋" w:eastAsia="仿宋" w:cs="仿宋"/>
          <w:sz w:val="30"/>
          <w:szCs w:val="30"/>
          <w:lang w:eastAsia="zh-CN"/>
        </w:rPr>
        <w:t>主要是因为</w:t>
      </w:r>
      <w:r>
        <w:rPr>
          <w:rFonts w:hint="eastAsia" w:ascii="仿宋" w:hAnsi="仿宋" w:eastAsia="仿宋" w:cs="仿宋"/>
          <w:sz w:val="30"/>
          <w:szCs w:val="30"/>
          <w:lang w:val="en-US" w:eastAsia="zh-CN"/>
        </w:rPr>
        <w:t>2021年财政</w:t>
      </w:r>
      <w:r>
        <w:rPr>
          <w:rFonts w:hint="eastAsia" w:ascii="仿宋" w:hAnsi="仿宋" w:eastAsia="仿宋" w:cs="仿宋"/>
          <w:color w:val="000000" w:themeColor="text1"/>
          <w:sz w:val="30"/>
          <w:szCs w:val="30"/>
          <w14:textFill>
            <w14:solidFill>
              <w14:schemeClr w14:val="tx1"/>
            </w14:solidFill>
          </w14:textFill>
        </w:rPr>
        <w:t>新冠疫情专项补助资金减少，增加了科研中心的项目补助</w:t>
      </w: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lang w:val="en-US" w:eastAsia="zh-CN"/>
          <w14:textFill>
            <w14:solidFill>
              <w14:schemeClr w14:val="tx1"/>
            </w14:solidFill>
          </w14:textFill>
        </w:rPr>
        <w:t>2021年医院的科研项目、人才培养项目、</w:t>
      </w:r>
      <w:r>
        <w:rPr>
          <w:rFonts w:hint="eastAsia" w:ascii="仿宋" w:hAnsi="仿宋" w:eastAsia="仿宋" w:cs="仿宋"/>
          <w:sz w:val="30"/>
          <w:szCs w:val="30"/>
        </w:rPr>
        <w:t>设备购置基础建设等项目</w:t>
      </w:r>
      <w:r>
        <w:rPr>
          <w:rFonts w:hint="eastAsia" w:ascii="仿宋" w:hAnsi="仿宋" w:eastAsia="仿宋" w:cs="仿宋"/>
          <w:sz w:val="30"/>
          <w:szCs w:val="30"/>
          <w:lang w:eastAsia="zh-CN"/>
        </w:rPr>
        <w:t>均按照各项规定进行支出，项目工作按任务要求持续开展。</w:t>
      </w:r>
    </w:p>
    <w:p>
      <w:pPr>
        <w:pStyle w:val="6"/>
        <w:spacing w:before="240" w:after="240" w:line="590" w:lineRule="atLeast"/>
        <w:ind w:firstLine="600"/>
        <w:jc w:val="left"/>
      </w:pPr>
      <w:r>
        <w:rPr>
          <w:rFonts w:ascii="黑体" w:hAnsi="黑体" w:eastAsia="黑体" w:cs="黑体"/>
          <w:sz w:val="30"/>
          <w:szCs w:val="30"/>
        </w:rPr>
        <w:t>三、一般公共预算财政拨款支出决算情况说明</w:t>
      </w:r>
    </w:p>
    <w:p>
      <w:pPr>
        <w:pStyle w:val="6"/>
        <w:spacing w:before="240" w:after="240" w:line="590" w:lineRule="atLeast"/>
        <w:ind w:firstLine="600"/>
        <w:jc w:val="left"/>
      </w:pPr>
      <w:r>
        <w:rPr>
          <w:rFonts w:ascii="楷体" w:hAnsi="楷体" w:eastAsia="楷体" w:cs="楷体"/>
          <w:sz w:val="30"/>
          <w:szCs w:val="30"/>
        </w:rPr>
        <w:t>（一）一般公共预算财政拨款支出决算总体情况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jc w:val="left"/>
        <w:rPr>
          <w:rFonts w:hint="eastAsia" w:ascii="仿宋" w:hAnsi="仿宋" w:eastAsia="仿宋" w:cs="仿宋"/>
          <w:i w:val="0"/>
          <w:iCs w:val="0"/>
          <w:caps w:val="0"/>
          <w:color w:val="000000" w:themeColor="text1"/>
          <w:spacing w:val="0"/>
          <w:sz w:val="30"/>
          <w:szCs w:val="30"/>
          <w14:textFill>
            <w14:solidFill>
              <w14:schemeClr w14:val="tx1"/>
            </w14:solidFill>
          </w14:textFill>
        </w:rPr>
      </w:pPr>
      <w:r>
        <w:rPr>
          <w:rFonts w:ascii="仿宋" w:hAnsi="仿宋" w:eastAsia="仿宋" w:cs="仿宋"/>
          <w:sz w:val="30"/>
          <w:szCs w:val="30"/>
        </w:rPr>
        <w:t>昆明医科大学第一附属医院部门2021年度一般公共预算财政拨款支出27,849.82万元，占本年支出合计的6.29%</w:t>
      </w:r>
      <w:r>
        <w:rPr>
          <w:rFonts w:ascii="仿宋" w:hAnsi="仿宋" w:eastAsia="仿宋" w:cs="仿宋"/>
          <w:color w:val="000000"/>
          <w:sz w:val="30"/>
          <w:szCs w:val="30"/>
        </w:rPr>
        <w:t>。</w:t>
      </w:r>
      <w:r>
        <w:rPr>
          <w:rFonts w:hint="eastAsia" w:ascii="仿宋" w:hAnsi="仿宋" w:eastAsia="仿宋" w:cs="仿宋"/>
          <w:sz w:val="30"/>
          <w:szCs w:val="30"/>
          <w:shd w:val="clear" w:color="auto" w:fill="FFFFFF"/>
        </w:rPr>
        <w:t>比20</w:t>
      </w:r>
      <w:r>
        <w:rPr>
          <w:rFonts w:hint="eastAsia" w:ascii="仿宋" w:hAnsi="仿宋" w:eastAsia="仿宋" w:cs="仿宋"/>
          <w:sz w:val="30"/>
          <w:szCs w:val="30"/>
          <w:shd w:val="clear" w:color="auto" w:fill="FFFFFF"/>
          <w:lang w:val="en-US" w:eastAsia="zh-CN"/>
        </w:rPr>
        <w:t>20</w:t>
      </w:r>
      <w:r>
        <w:rPr>
          <w:rFonts w:hint="eastAsia" w:ascii="仿宋" w:hAnsi="仿宋" w:eastAsia="仿宋" w:cs="仿宋"/>
          <w:sz w:val="30"/>
          <w:szCs w:val="30"/>
          <w:shd w:val="clear" w:color="auto" w:fill="FFFFFF"/>
        </w:rPr>
        <w:t>年</w:t>
      </w:r>
      <w:r>
        <w:rPr>
          <w:rFonts w:hint="eastAsia" w:ascii="仿宋" w:hAnsi="仿宋" w:eastAsia="仿宋" w:cs="仿宋"/>
          <w:sz w:val="30"/>
          <w:szCs w:val="30"/>
          <w:shd w:val="clear" w:color="auto" w:fill="FFFFFF"/>
          <w:lang w:eastAsia="zh-CN"/>
        </w:rPr>
        <w:t>减少</w:t>
      </w:r>
      <w:r>
        <w:rPr>
          <w:rFonts w:hint="eastAsia" w:ascii="仿宋" w:hAnsi="仿宋" w:eastAsia="仿宋" w:cs="仿宋"/>
          <w:sz w:val="30"/>
          <w:szCs w:val="30"/>
          <w:shd w:val="clear" w:color="auto" w:fill="FFFFFF"/>
        </w:rPr>
        <w:t>21</w:t>
      </w:r>
      <w:r>
        <w:rPr>
          <w:rFonts w:ascii="仿宋" w:hAnsi="仿宋" w:eastAsia="仿宋" w:cs="仿宋"/>
          <w:sz w:val="30"/>
          <w:szCs w:val="30"/>
        </w:rPr>
        <w:t>,</w:t>
      </w:r>
      <w:r>
        <w:rPr>
          <w:rFonts w:hint="eastAsia" w:ascii="仿宋" w:hAnsi="仿宋" w:eastAsia="仿宋" w:cs="仿宋"/>
          <w:sz w:val="30"/>
          <w:szCs w:val="30"/>
          <w:shd w:val="clear" w:color="auto" w:fill="FFFFFF"/>
          <w:lang w:val="en-US" w:eastAsia="zh-CN"/>
        </w:rPr>
        <w:t>583.37</w:t>
      </w:r>
      <w:r>
        <w:rPr>
          <w:rFonts w:hint="eastAsia" w:ascii="仿宋" w:hAnsi="仿宋" w:eastAsia="仿宋" w:cs="仿宋"/>
          <w:sz w:val="30"/>
          <w:szCs w:val="30"/>
          <w:shd w:val="clear" w:color="auto" w:fill="FFFFFF"/>
        </w:rPr>
        <w:t>万元，</w:t>
      </w:r>
      <w:r>
        <w:rPr>
          <w:rFonts w:hint="eastAsia" w:ascii="仿宋" w:hAnsi="仿宋" w:eastAsia="仿宋" w:cs="仿宋"/>
          <w:sz w:val="30"/>
          <w:szCs w:val="30"/>
          <w:shd w:val="clear" w:color="auto" w:fill="FFFFFF"/>
          <w:lang w:eastAsia="zh-CN"/>
        </w:rPr>
        <w:t>下降</w:t>
      </w:r>
      <w:r>
        <w:rPr>
          <w:rFonts w:hint="eastAsia" w:ascii="仿宋" w:hAnsi="仿宋" w:eastAsia="仿宋" w:cs="仿宋"/>
          <w:sz w:val="30"/>
          <w:szCs w:val="30"/>
          <w:shd w:val="clear" w:color="auto" w:fill="FFFFFF"/>
          <w:lang w:val="en-US" w:eastAsia="zh-CN"/>
        </w:rPr>
        <w:t>43.66</w:t>
      </w:r>
      <w:r>
        <w:rPr>
          <w:rFonts w:hint="eastAsia" w:ascii="仿宋" w:hAnsi="仿宋" w:eastAsia="仿宋" w:cs="仿宋"/>
          <w:sz w:val="30"/>
          <w:szCs w:val="30"/>
          <w:shd w:val="clear" w:color="auto" w:fill="FFFFFF"/>
        </w:rPr>
        <w:t>%</w:t>
      </w:r>
      <w:r>
        <w:rPr>
          <w:rFonts w:hint="eastAsia" w:ascii="仿宋" w:hAnsi="仿宋" w:eastAsia="仿宋" w:cs="仿宋"/>
          <w:sz w:val="30"/>
          <w:szCs w:val="30"/>
          <w:shd w:val="clear" w:color="auto" w:fill="FFFFFF"/>
          <w:lang w:eastAsia="zh-CN"/>
        </w:rPr>
        <w:t>。</w:t>
      </w:r>
      <w:r>
        <w:rPr>
          <w:rFonts w:hint="eastAsia" w:ascii="仿宋" w:hAnsi="仿宋" w:eastAsia="仿宋" w:cs="仿宋"/>
          <w:color w:val="000000" w:themeColor="text1"/>
          <w:sz w:val="30"/>
          <w:szCs w:val="30"/>
          <w:shd w:val="clear" w:color="auto" w:fill="FFFFFF"/>
          <w14:textFill>
            <w14:solidFill>
              <w14:schemeClr w14:val="tx1"/>
            </w14:solidFill>
          </w14:textFill>
        </w:rPr>
        <w:t>主要是</w:t>
      </w:r>
      <w:r>
        <w:rPr>
          <w:rFonts w:hint="eastAsia" w:ascii="仿宋" w:hAnsi="仿宋" w:eastAsia="仿宋" w:cs="仿宋"/>
          <w:color w:val="000000" w:themeColor="text1"/>
          <w:sz w:val="30"/>
          <w:szCs w:val="30"/>
          <w:shd w:val="clear" w:color="auto" w:fill="FFFFFF"/>
          <w:lang w:val="en-US" w:eastAsia="zh-CN"/>
          <w14:textFill>
            <w14:solidFill>
              <w14:schemeClr w14:val="tx1"/>
            </w14:solidFill>
          </w14:textFill>
        </w:rPr>
        <w:t>2021年</w:t>
      </w:r>
      <w:r>
        <w:rPr>
          <w:rFonts w:hint="eastAsia" w:ascii="仿宋" w:hAnsi="仿宋" w:eastAsia="仿宋" w:cs="仿宋"/>
          <w:color w:val="000000" w:themeColor="text1"/>
          <w:kern w:val="2"/>
          <w:sz w:val="30"/>
          <w:szCs w:val="30"/>
          <w:lang w:eastAsia="zh-CN"/>
          <w14:textFill>
            <w14:solidFill>
              <w14:schemeClr w14:val="tx1"/>
            </w14:solidFill>
          </w14:textFill>
        </w:rPr>
        <w:t>减少了</w:t>
      </w:r>
      <w:r>
        <w:rPr>
          <w:rFonts w:hint="eastAsia" w:ascii="仿宋" w:hAnsi="仿宋" w:eastAsia="仿宋" w:cs="仿宋"/>
          <w:color w:val="000000" w:themeColor="text1"/>
          <w:kern w:val="2"/>
          <w:sz w:val="30"/>
          <w:szCs w:val="30"/>
          <w14:textFill>
            <w14:solidFill>
              <w14:schemeClr w14:val="tx1"/>
            </w14:solidFill>
          </w14:textFill>
        </w:rPr>
        <w:t>新冠疫情补助资金</w:t>
      </w: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kern w:val="2"/>
          <w:sz w:val="30"/>
          <w:szCs w:val="30"/>
          <w14:textFill>
            <w14:solidFill>
              <w14:schemeClr w14:val="tx1"/>
            </w14:solidFill>
          </w14:textFill>
        </w:rPr>
        <w:t>心脑血管疑难病诊治能力提升专项建设补助、重大疫情救治基地建设专项补助</w:t>
      </w:r>
      <w:r>
        <w:rPr>
          <w:rFonts w:hint="eastAsia" w:ascii="仿宋" w:hAnsi="仿宋" w:eastAsia="仿宋" w:cs="仿宋"/>
          <w:color w:val="000000" w:themeColor="text1"/>
          <w:kern w:val="2"/>
          <w:sz w:val="30"/>
          <w:szCs w:val="30"/>
          <w:lang w:eastAsia="zh-CN"/>
          <w14:textFill>
            <w14:solidFill>
              <w14:schemeClr w14:val="tx1"/>
            </w14:solidFill>
          </w14:textFill>
        </w:rPr>
        <w:t>，</w:t>
      </w:r>
      <w:r>
        <w:rPr>
          <w:rFonts w:hint="eastAsia" w:ascii="仿宋" w:hAnsi="仿宋" w:eastAsia="仿宋" w:cs="仿宋"/>
          <w:color w:val="000000" w:themeColor="text1"/>
          <w:sz w:val="30"/>
          <w:szCs w:val="30"/>
          <w:lang w:eastAsia="zh-CN"/>
          <w14:textFill>
            <w14:solidFill>
              <w14:schemeClr w14:val="tx1"/>
            </w14:solidFill>
          </w14:textFill>
        </w:rPr>
        <w:t>因此对应</w:t>
      </w:r>
      <w:r>
        <w:rPr>
          <w:rFonts w:hint="eastAsia" w:ascii="仿宋" w:hAnsi="仿宋" w:eastAsia="仿宋" w:cs="仿宋"/>
          <w:color w:val="000000" w:themeColor="text1"/>
          <w:kern w:val="2"/>
          <w:sz w:val="30"/>
          <w:szCs w:val="30"/>
          <w14:textFill>
            <w14:solidFill>
              <w14:schemeClr w14:val="tx1"/>
            </w14:solidFill>
          </w14:textFill>
        </w:rPr>
        <w:t>支出</w:t>
      </w:r>
      <w:r>
        <w:rPr>
          <w:rFonts w:hint="eastAsia" w:ascii="仿宋" w:hAnsi="仿宋" w:eastAsia="仿宋" w:cs="仿宋"/>
          <w:color w:val="000000" w:themeColor="text1"/>
          <w:kern w:val="2"/>
          <w:sz w:val="30"/>
          <w:szCs w:val="30"/>
          <w:lang w:eastAsia="zh-CN"/>
          <w14:textFill>
            <w14:solidFill>
              <w14:schemeClr w14:val="tx1"/>
            </w14:solidFill>
          </w14:textFill>
        </w:rPr>
        <w:t>减少</w:t>
      </w:r>
      <w:r>
        <w:rPr>
          <w:rFonts w:hint="eastAsia" w:ascii="仿宋" w:hAnsi="仿宋" w:eastAsia="仿宋" w:cs="仿宋"/>
          <w:sz w:val="30"/>
          <w:szCs w:val="30"/>
          <w:lang w:eastAsia="zh-CN"/>
        </w:rPr>
        <w:t>。</w:t>
      </w:r>
    </w:p>
    <w:p>
      <w:pPr>
        <w:pStyle w:val="6"/>
        <w:spacing w:before="240" w:after="240" w:line="590" w:lineRule="atLeast"/>
        <w:ind w:firstLine="600"/>
        <w:jc w:val="left"/>
      </w:pPr>
      <w:r>
        <w:rPr>
          <w:rFonts w:ascii="楷体" w:hAnsi="楷体" w:eastAsia="楷体" w:cs="楷体"/>
          <w:sz w:val="30"/>
          <w:szCs w:val="30"/>
        </w:rPr>
        <w:t>（二）一般公共预算财政拨款支出决算具体情况</w:t>
      </w:r>
    </w:p>
    <w:p>
      <w:pPr>
        <w:shd w:val="clear" w:color="auto" w:fill="FFFFFF"/>
        <w:autoSpaceDE w:val="0"/>
        <w:autoSpaceDN w:val="0"/>
        <w:snapToGrid w:val="0"/>
        <w:spacing w:beforeLines="50" w:afterLines="50" w:line="520" w:lineRule="exact"/>
        <w:ind w:firstLine="600" w:firstLineChars="200"/>
        <w:contextualSpacing/>
        <w:jc w:val="both"/>
        <w:rPr>
          <w:rFonts w:hint="eastAsia" w:ascii="仿宋" w:hAnsi="仿宋" w:eastAsia="仿宋" w:cs="仿宋"/>
          <w:i w:val="0"/>
          <w:iCs w:val="0"/>
          <w:caps w:val="0"/>
          <w:color w:val="000000"/>
          <w:spacing w:val="0"/>
          <w:sz w:val="30"/>
          <w:szCs w:val="30"/>
        </w:rPr>
      </w:pPr>
      <w:r>
        <w:rPr>
          <w:rFonts w:ascii="仿宋" w:hAnsi="仿宋" w:eastAsia="仿宋" w:cs="仿宋"/>
          <w:sz w:val="30"/>
          <w:szCs w:val="30"/>
        </w:rPr>
        <w:t>1.一般公共服务（类）支出966.35万元，占一般公共预算财政拨款总支出的3.47%。</w:t>
      </w:r>
      <w:r>
        <w:rPr>
          <w:rFonts w:hint="eastAsia" w:ascii="仿宋" w:hAnsi="仿宋" w:eastAsia="仿宋" w:cs="仿宋"/>
          <w:sz w:val="30"/>
          <w:szCs w:val="30"/>
        </w:rPr>
        <w:t>主要用于</w:t>
      </w:r>
      <w:r>
        <w:rPr>
          <w:rFonts w:hint="eastAsia" w:ascii="仿宋" w:hAnsi="仿宋" w:eastAsia="仿宋" w:cs="仿宋"/>
          <w:sz w:val="30"/>
          <w:szCs w:val="30"/>
          <w:lang w:eastAsia="zh-CN"/>
        </w:rPr>
        <w:t>高层次人才特殊生活补贴、</w:t>
      </w:r>
      <w:r>
        <w:rPr>
          <w:rFonts w:hint="eastAsia" w:ascii="仿宋" w:hAnsi="仿宋" w:eastAsia="仿宋" w:cs="仿宋"/>
          <w:sz w:val="30"/>
          <w:szCs w:val="30"/>
          <w:shd w:val="clear" w:color="auto" w:fill="FFFFFF"/>
        </w:rPr>
        <w:t>基层对口人才培养学员生活补助及教师带教费</w:t>
      </w:r>
      <w:r>
        <w:rPr>
          <w:rFonts w:hint="eastAsia" w:ascii="仿宋" w:hAnsi="仿宋" w:eastAsia="仿宋" w:cs="仿宋"/>
          <w:sz w:val="30"/>
          <w:szCs w:val="30"/>
          <w:shd w:val="clear" w:color="auto" w:fill="FFFFFF"/>
          <w:lang w:eastAsia="zh-CN"/>
        </w:rPr>
        <w:t>、</w:t>
      </w:r>
      <w:r>
        <w:rPr>
          <w:rFonts w:hint="eastAsia" w:ascii="仿宋" w:hAnsi="仿宋" w:eastAsia="仿宋" w:cs="仿宋"/>
          <w:sz w:val="30"/>
          <w:szCs w:val="30"/>
          <w:shd w:val="clear" w:color="auto" w:fill="FFFFFF"/>
        </w:rPr>
        <w:t>以及人才培养项目的相关材料费、测试费、外协费、培训费等支出</w:t>
      </w:r>
      <w:r>
        <w:rPr>
          <w:rFonts w:hint="eastAsia" w:ascii="仿宋" w:hAnsi="仿宋" w:eastAsia="仿宋" w:cs="仿宋"/>
          <w:sz w:val="30"/>
          <w:szCs w:val="30"/>
        </w:rPr>
        <w:t>。</w:t>
      </w:r>
    </w:p>
    <w:p>
      <w:pPr>
        <w:autoSpaceDE w:val="0"/>
        <w:autoSpaceDN w:val="0"/>
        <w:adjustRightInd w:val="0"/>
        <w:snapToGrid w:val="0"/>
        <w:spacing w:beforeLines="50" w:afterLines="50" w:line="520" w:lineRule="exact"/>
        <w:ind w:firstLine="600" w:firstLineChars="200"/>
        <w:contextualSpacing/>
        <w:jc w:val="both"/>
        <w:rPr>
          <w:rFonts w:hint="eastAsia" w:ascii="仿宋" w:hAnsi="仿宋" w:eastAsia="仿宋" w:cs="仿宋"/>
          <w:sz w:val="30"/>
          <w:szCs w:val="30"/>
          <w:shd w:val="clear" w:color="auto" w:fill="FFFFFF"/>
        </w:rPr>
      </w:pPr>
      <w:r>
        <w:rPr>
          <w:rFonts w:hint="eastAsia" w:ascii="仿宋" w:hAnsi="仿宋" w:eastAsia="仿宋" w:cs="仿宋"/>
          <w:i w:val="0"/>
          <w:iCs w:val="0"/>
          <w:caps w:val="0"/>
          <w:color w:val="000000"/>
          <w:spacing w:val="0"/>
          <w:kern w:val="0"/>
          <w:sz w:val="30"/>
          <w:szCs w:val="30"/>
          <w:shd w:val="clear" w:fill="FFFFFF"/>
          <w:lang w:val="en-US" w:eastAsia="zh-CN" w:bidi="ar"/>
        </w:rPr>
        <w:t>2.科学技术（类）支出1</w:t>
      </w:r>
      <w:r>
        <w:rPr>
          <w:rFonts w:ascii="仿宋" w:hAnsi="仿宋" w:eastAsia="仿宋" w:cs="仿宋"/>
          <w:sz w:val="30"/>
          <w:szCs w:val="30"/>
        </w:rPr>
        <w:t>,</w:t>
      </w:r>
      <w:r>
        <w:rPr>
          <w:rFonts w:hint="eastAsia" w:ascii="仿宋" w:hAnsi="仿宋" w:eastAsia="仿宋" w:cs="仿宋"/>
          <w:i w:val="0"/>
          <w:iCs w:val="0"/>
          <w:caps w:val="0"/>
          <w:color w:val="000000"/>
          <w:spacing w:val="0"/>
          <w:kern w:val="0"/>
          <w:sz w:val="30"/>
          <w:szCs w:val="30"/>
          <w:shd w:val="clear" w:fill="FFFFFF"/>
          <w:lang w:val="en-US" w:eastAsia="zh-CN" w:bidi="ar"/>
        </w:rPr>
        <w:t>474.23万元，占一般公共预算财政拨款总支出的5.29%。</w:t>
      </w:r>
      <w:r>
        <w:rPr>
          <w:rFonts w:hint="eastAsia" w:ascii="仿宋" w:hAnsi="仿宋" w:eastAsia="仿宋" w:cs="仿宋"/>
          <w:sz w:val="30"/>
          <w:szCs w:val="30"/>
          <w:shd w:val="clear" w:color="auto" w:fill="FFFFFF"/>
        </w:rPr>
        <w:t>主要用于科研项目、人才培养项目的相关材料费、测试费、外协费、培训费等支出。</w:t>
      </w:r>
    </w:p>
    <w:p>
      <w:pPr>
        <w:autoSpaceDE w:val="0"/>
        <w:autoSpaceDN w:val="0"/>
        <w:adjustRightInd w:val="0"/>
        <w:snapToGrid w:val="0"/>
        <w:spacing w:beforeLines="50" w:afterLines="50" w:line="520" w:lineRule="exact"/>
        <w:ind w:firstLine="600" w:firstLineChars="200"/>
        <w:contextualSpacing/>
        <w:jc w:val="both"/>
        <w:rPr>
          <w:rFonts w:hint="eastAsia" w:ascii="仿宋" w:hAnsi="仿宋" w:eastAsia="仿宋" w:cs="仿宋"/>
          <w:sz w:val="30"/>
          <w:szCs w:val="30"/>
          <w:shd w:val="clear" w:color="auto" w:fill="FFFFFF"/>
        </w:rPr>
      </w:pPr>
      <w:r>
        <w:rPr>
          <w:rFonts w:hint="eastAsia" w:ascii="仿宋" w:hAnsi="仿宋" w:eastAsia="仿宋" w:cs="仿宋"/>
          <w:i w:val="0"/>
          <w:iCs w:val="0"/>
          <w:caps w:val="0"/>
          <w:color w:val="000000"/>
          <w:spacing w:val="0"/>
          <w:kern w:val="0"/>
          <w:sz w:val="30"/>
          <w:szCs w:val="30"/>
          <w:shd w:val="clear" w:fill="FFFFFF"/>
          <w:lang w:val="en-US" w:eastAsia="zh-CN" w:bidi="ar"/>
        </w:rPr>
        <w:t>3.社会保障和就业（类）支出373</w:t>
      </w:r>
      <w:r>
        <w:rPr>
          <w:rFonts w:hint="eastAsia" w:ascii="仿宋" w:hAnsi="仿宋" w:eastAsia="仿宋" w:cs="仿宋"/>
          <w:sz w:val="30"/>
          <w:szCs w:val="30"/>
          <w:lang w:val="en-US" w:eastAsia="zh-CN"/>
        </w:rPr>
        <w:t>.</w:t>
      </w:r>
      <w:r>
        <w:rPr>
          <w:rFonts w:hint="eastAsia" w:ascii="仿宋" w:hAnsi="仿宋" w:eastAsia="仿宋" w:cs="仿宋"/>
          <w:i w:val="0"/>
          <w:iCs w:val="0"/>
          <w:caps w:val="0"/>
          <w:color w:val="000000"/>
          <w:spacing w:val="0"/>
          <w:kern w:val="0"/>
          <w:sz w:val="30"/>
          <w:szCs w:val="30"/>
          <w:shd w:val="clear" w:fill="FFFFFF"/>
          <w:lang w:val="en-US" w:eastAsia="zh-CN" w:bidi="ar"/>
        </w:rPr>
        <w:t>33万元，占一般公共预算财政拨款总支出的1.34%。</w:t>
      </w:r>
      <w:r>
        <w:rPr>
          <w:rFonts w:hint="eastAsia" w:ascii="仿宋" w:hAnsi="仿宋" w:eastAsia="仿宋" w:cs="仿宋"/>
          <w:sz w:val="30"/>
          <w:szCs w:val="30"/>
          <w:shd w:val="clear" w:color="auto" w:fill="FFFFFF"/>
        </w:rPr>
        <w:t>主要用于离休人员的工资、丧葬费</w:t>
      </w:r>
      <w:r>
        <w:rPr>
          <w:rFonts w:hint="eastAsia" w:ascii="仿宋" w:hAnsi="仿宋" w:eastAsia="仿宋" w:cs="仿宋"/>
          <w:sz w:val="30"/>
          <w:szCs w:val="30"/>
          <w:shd w:val="clear" w:color="auto" w:fill="FFFFFF"/>
          <w:lang w:eastAsia="zh-CN"/>
        </w:rPr>
        <w:t>及</w:t>
      </w:r>
      <w:r>
        <w:rPr>
          <w:rFonts w:hint="eastAsia" w:ascii="仿宋" w:hAnsi="仿宋" w:eastAsia="仿宋" w:cs="仿宋"/>
          <w:sz w:val="30"/>
          <w:szCs w:val="30"/>
          <w:shd w:val="clear" w:color="auto" w:fill="FFFFFF"/>
        </w:rPr>
        <w:t>离退休人员公用经费。</w:t>
      </w:r>
    </w:p>
    <w:p>
      <w:pPr>
        <w:autoSpaceDE w:val="0"/>
        <w:autoSpaceDN w:val="0"/>
        <w:adjustRightInd w:val="0"/>
        <w:snapToGrid w:val="0"/>
        <w:spacing w:beforeLines="50" w:afterLines="50" w:line="360" w:lineRule="auto"/>
        <w:ind w:firstLine="600" w:firstLineChars="200"/>
        <w:contextualSpacing/>
        <w:jc w:val="both"/>
        <w:rPr>
          <w:rFonts w:hint="eastAsia" w:ascii="仿宋" w:hAnsi="仿宋" w:eastAsia="仿宋" w:cs="仿宋"/>
          <w:sz w:val="30"/>
          <w:szCs w:val="30"/>
          <w:shd w:val="clear" w:color="auto" w:fill="FFFFFF"/>
        </w:rPr>
      </w:pPr>
      <w:r>
        <w:rPr>
          <w:rFonts w:hint="eastAsia" w:ascii="仿宋" w:hAnsi="仿宋" w:eastAsia="仿宋" w:cs="仿宋"/>
          <w:i w:val="0"/>
          <w:iCs w:val="0"/>
          <w:caps w:val="0"/>
          <w:color w:val="000000"/>
          <w:spacing w:val="0"/>
          <w:kern w:val="0"/>
          <w:sz w:val="30"/>
          <w:szCs w:val="30"/>
          <w:shd w:val="clear" w:fill="FFFFFF"/>
          <w:lang w:val="en-US" w:eastAsia="zh-CN" w:bidi="ar"/>
        </w:rPr>
        <w:t>4.卫生健康（类）支出25</w:t>
      </w:r>
      <w:r>
        <w:rPr>
          <w:rFonts w:ascii="仿宋" w:hAnsi="仿宋" w:eastAsia="仿宋" w:cs="仿宋"/>
          <w:sz w:val="30"/>
          <w:szCs w:val="30"/>
        </w:rPr>
        <w:t>,</w:t>
      </w:r>
      <w:r>
        <w:rPr>
          <w:rFonts w:hint="eastAsia" w:ascii="仿宋" w:hAnsi="仿宋" w:eastAsia="仿宋" w:cs="仿宋"/>
          <w:i w:val="0"/>
          <w:iCs w:val="0"/>
          <w:caps w:val="0"/>
          <w:color w:val="000000"/>
          <w:spacing w:val="0"/>
          <w:kern w:val="0"/>
          <w:sz w:val="30"/>
          <w:szCs w:val="30"/>
          <w:shd w:val="clear" w:fill="FFFFFF"/>
          <w:lang w:val="en-US" w:eastAsia="zh-CN" w:bidi="ar"/>
        </w:rPr>
        <w:t>035.90万元，占一般公共预算财政拨款总支出的89.90%。</w:t>
      </w:r>
      <w:r>
        <w:rPr>
          <w:rFonts w:hint="eastAsia" w:ascii="仿宋" w:hAnsi="仿宋" w:eastAsia="仿宋" w:cs="仿宋"/>
          <w:sz w:val="30"/>
          <w:szCs w:val="30"/>
          <w:shd w:val="clear" w:color="auto" w:fill="FFFFFF"/>
        </w:rPr>
        <w:t>主要用于人员工资、设备购置、人才培养、基础建设等项目的补助支出。</w:t>
      </w:r>
    </w:p>
    <w:p>
      <w:pPr>
        <w:pStyle w:val="6"/>
        <w:spacing w:before="240" w:after="240" w:line="590" w:lineRule="atLeast"/>
        <w:ind w:firstLine="600"/>
        <w:jc w:val="left"/>
      </w:pPr>
      <w:r>
        <w:rPr>
          <w:rFonts w:ascii="黑体" w:hAnsi="黑体" w:eastAsia="黑体" w:cs="黑体"/>
          <w:sz w:val="30"/>
          <w:szCs w:val="30"/>
        </w:rPr>
        <w:t>四、一般公共预算财政拨款</w:t>
      </w:r>
      <w:r>
        <w:rPr>
          <w:rFonts w:ascii="Times New Roman" w:hAnsi="Times New Roman" w:eastAsia="Times New Roman" w:cs="Times New Roman"/>
          <w:sz w:val="30"/>
          <w:szCs w:val="30"/>
        </w:rPr>
        <w:t>“</w:t>
      </w:r>
      <w:r>
        <w:rPr>
          <w:rFonts w:ascii="黑体" w:hAnsi="黑体" w:eastAsia="黑体" w:cs="黑体"/>
          <w:sz w:val="30"/>
          <w:szCs w:val="30"/>
        </w:rPr>
        <w:t>三公</w:t>
      </w:r>
      <w:r>
        <w:rPr>
          <w:rFonts w:ascii="Times New Roman" w:hAnsi="Times New Roman" w:eastAsia="Times New Roman" w:cs="Times New Roman"/>
          <w:sz w:val="30"/>
          <w:szCs w:val="30"/>
        </w:rPr>
        <w:t>”</w:t>
      </w:r>
      <w:r>
        <w:rPr>
          <w:rFonts w:ascii="黑体" w:hAnsi="黑体" w:eastAsia="黑体" w:cs="黑体"/>
          <w:sz w:val="30"/>
          <w:szCs w:val="30"/>
        </w:rPr>
        <w:t>经费支出决算情况说明</w:t>
      </w:r>
    </w:p>
    <w:p>
      <w:pPr>
        <w:pStyle w:val="6"/>
        <w:spacing w:before="240" w:after="240" w:line="590" w:lineRule="atLeast"/>
        <w:ind w:firstLine="600"/>
        <w:jc w:val="left"/>
      </w:pPr>
      <w:r>
        <w:rPr>
          <w:rFonts w:ascii="楷体" w:hAnsi="楷体" w:eastAsia="楷体" w:cs="楷体"/>
          <w:sz w:val="30"/>
          <w:szCs w:val="30"/>
        </w:rPr>
        <w:t>(一)一般公共预算财政拨款</w:t>
      </w:r>
      <w:r>
        <w:rPr>
          <w:rFonts w:ascii="Times New Roman" w:hAnsi="Times New Roman" w:eastAsia="Times New Roman" w:cs="Times New Roman"/>
          <w:sz w:val="30"/>
          <w:szCs w:val="30"/>
        </w:rPr>
        <w:t>“</w:t>
      </w:r>
      <w:r>
        <w:rPr>
          <w:rFonts w:ascii="楷体" w:hAnsi="楷体" w:eastAsia="楷体" w:cs="楷体"/>
          <w:sz w:val="30"/>
          <w:szCs w:val="30"/>
        </w:rPr>
        <w:t>三公</w:t>
      </w:r>
      <w:r>
        <w:rPr>
          <w:rFonts w:ascii="Times New Roman" w:hAnsi="Times New Roman" w:eastAsia="Times New Roman" w:cs="Times New Roman"/>
          <w:sz w:val="30"/>
          <w:szCs w:val="30"/>
        </w:rPr>
        <w:t>”</w:t>
      </w:r>
      <w:r>
        <w:rPr>
          <w:rFonts w:ascii="楷体" w:hAnsi="楷体" w:eastAsia="楷体" w:cs="楷体"/>
          <w:sz w:val="30"/>
          <w:szCs w:val="30"/>
        </w:rPr>
        <w:t>经费支出决算总体情况</w:t>
      </w:r>
    </w:p>
    <w:p>
      <w:pPr>
        <w:snapToGrid w:val="0"/>
        <w:spacing w:beforeLines="50" w:afterLines="50" w:line="360" w:lineRule="auto"/>
        <w:ind w:firstLine="600" w:firstLineChars="200"/>
        <w:contextualSpacing/>
        <w:jc w:val="both"/>
        <w:rPr>
          <w:rFonts w:hint="eastAsia" w:ascii="仿宋" w:hAnsi="仿宋" w:eastAsia="仿宋" w:cs="仿宋"/>
          <w:color w:val="000000" w:themeColor="text1"/>
          <w:sz w:val="30"/>
          <w:szCs w:val="30"/>
          <w14:textFill>
            <w14:solidFill>
              <w14:schemeClr w14:val="tx1"/>
            </w14:solidFill>
          </w14:textFill>
        </w:rPr>
      </w:pPr>
      <w:r>
        <w:rPr>
          <w:rFonts w:ascii="仿宋" w:hAnsi="仿宋" w:eastAsia="仿宋" w:cs="仿宋"/>
          <w:sz w:val="30"/>
          <w:szCs w:val="30"/>
        </w:rPr>
        <w:t>昆明医科大学第一附属医院部门2021年度一般公共预算财政拨款</w:t>
      </w:r>
      <w:r>
        <w:rPr>
          <w:rFonts w:ascii="Times New Roman" w:hAnsi="Times New Roman" w:eastAsia="Times New Roman" w:cs="Times New Roman"/>
          <w:sz w:val="30"/>
          <w:szCs w:val="30"/>
        </w:rPr>
        <w:t>“</w:t>
      </w:r>
      <w:r>
        <w:rPr>
          <w:rFonts w:ascii="仿宋" w:hAnsi="仿宋" w:eastAsia="仿宋" w:cs="仿宋"/>
          <w:sz w:val="30"/>
          <w:szCs w:val="30"/>
        </w:rPr>
        <w:t>三公</w:t>
      </w:r>
      <w:r>
        <w:rPr>
          <w:rFonts w:ascii="Times New Roman" w:hAnsi="Times New Roman" w:eastAsia="Times New Roman" w:cs="Times New Roman"/>
          <w:sz w:val="30"/>
          <w:szCs w:val="30"/>
        </w:rPr>
        <w:t>”</w:t>
      </w:r>
      <w:r>
        <w:rPr>
          <w:rFonts w:ascii="仿宋" w:hAnsi="仿宋" w:eastAsia="仿宋" w:cs="仿宋"/>
          <w:sz w:val="30"/>
          <w:szCs w:val="30"/>
        </w:rPr>
        <w:t>经费支出预算为</w:t>
      </w:r>
      <w:r>
        <w:rPr>
          <w:rFonts w:hint="eastAsia" w:ascii="仿宋" w:hAnsi="仿宋" w:eastAsia="仿宋" w:cs="仿宋"/>
          <w:color w:val="000000" w:themeColor="text1"/>
          <w:sz w:val="30"/>
          <w:szCs w:val="30"/>
          <w:lang w:val="en-US" w:eastAsia="zh-CN"/>
          <w14:textFill>
            <w14:solidFill>
              <w14:schemeClr w14:val="tx1"/>
            </w14:solidFill>
          </w14:textFill>
        </w:rPr>
        <w:t>0</w:t>
      </w:r>
      <w:r>
        <w:rPr>
          <w:rFonts w:hint="eastAsia" w:ascii="仿宋" w:hAnsi="仿宋" w:eastAsia="仿宋" w:cs="仿宋"/>
          <w:color w:val="000000" w:themeColor="text1"/>
          <w:sz w:val="30"/>
          <w:szCs w:val="30"/>
          <w14:textFill>
            <w14:solidFill>
              <w14:schemeClr w14:val="tx1"/>
            </w14:solidFill>
          </w14:textFill>
        </w:rPr>
        <w:t>万元，支出决算为0万元，完成预算的</w:t>
      </w:r>
      <w:r>
        <w:rPr>
          <w:rFonts w:hint="eastAsia" w:ascii="仿宋" w:hAnsi="仿宋" w:eastAsia="仿宋" w:cs="仿宋"/>
          <w:color w:val="000000" w:themeColor="text1"/>
          <w:sz w:val="30"/>
          <w:szCs w:val="30"/>
          <w:lang w:val="en-US" w:eastAsia="zh-CN"/>
          <w14:textFill>
            <w14:solidFill>
              <w14:schemeClr w14:val="tx1"/>
            </w14:solidFill>
          </w14:textFill>
        </w:rPr>
        <w:t>0</w:t>
      </w:r>
      <w:r>
        <w:rPr>
          <w:rFonts w:hint="eastAsia" w:ascii="仿宋" w:hAnsi="仿宋" w:eastAsia="仿宋" w:cs="仿宋"/>
          <w:color w:val="000000" w:themeColor="text1"/>
          <w:sz w:val="30"/>
          <w:szCs w:val="30"/>
          <w14:textFill>
            <w14:solidFill>
              <w14:schemeClr w14:val="tx1"/>
            </w14:solidFill>
          </w14:textFill>
        </w:rPr>
        <w:t>%。其中：因公出国（境）费支出决算为0万元，完成预算的</w:t>
      </w:r>
      <w:r>
        <w:rPr>
          <w:rFonts w:hint="eastAsia" w:ascii="仿宋" w:hAnsi="仿宋" w:eastAsia="仿宋" w:cs="仿宋"/>
          <w:color w:val="000000" w:themeColor="text1"/>
          <w:sz w:val="30"/>
          <w:szCs w:val="30"/>
          <w:lang w:val="en-US" w:eastAsia="zh-CN"/>
          <w14:textFill>
            <w14:solidFill>
              <w14:schemeClr w14:val="tx1"/>
            </w14:solidFill>
          </w14:textFill>
        </w:rPr>
        <w:t>0</w:t>
      </w:r>
      <w:r>
        <w:rPr>
          <w:rFonts w:hint="eastAsia" w:ascii="仿宋" w:hAnsi="仿宋" w:eastAsia="仿宋" w:cs="仿宋"/>
          <w:color w:val="000000" w:themeColor="text1"/>
          <w:sz w:val="30"/>
          <w:szCs w:val="30"/>
          <w14:textFill>
            <w14:solidFill>
              <w14:schemeClr w14:val="tx1"/>
            </w14:solidFill>
          </w14:textFill>
        </w:rPr>
        <w:t>%；公务用车购置及运行费支出决算为0万元，完成预算的</w:t>
      </w:r>
      <w:r>
        <w:rPr>
          <w:rFonts w:hint="eastAsia" w:ascii="仿宋" w:hAnsi="仿宋" w:eastAsia="仿宋" w:cs="仿宋"/>
          <w:color w:val="000000" w:themeColor="text1"/>
          <w:sz w:val="30"/>
          <w:szCs w:val="30"/>
          <w:lang w:val="en-US" w:eastAsia="zh-CN"/>
          <w14:textFill>
            <w14:solidFill>
              <w14:schemeClr w14:val="tx1"/>
            </w14:solidFill>
          </w14:textFill>
        </w:rPr>
        <w:t>0</w:t>
      </w:r>
      <w:r>
        <w:rPr>
          <w:rFonts w:hint="eastAsia" w:ascii="仿宋" w:hAnsi="仿宋" w:eastAsia="仿宋" w:cs="仿宋"/>
          <w:color w:val="000000" w:themeColor="text1"/>
          <w:sz w:val="30"/>
          <w:szCs w:val="30"/>
          <w14:textFill>
            <w14:solidFill>
              <w14:schemeClr w14:val="tx1"/>
            </w14:solidFill>
          </w14:textFill>
        </w:rPr>
        <w:t>%；公务接待费支出决算为0万元，完成预算的</w:t>
      </w:r>
      <w:r>
        <w:rPr>
          <w:rFonts w:hint="eastAsia" w:ascii="仿宋" w:hAnsi="仿宋" w:eastAsia="仿宋" w:cs="仿宋"/>
          <w:color w:val="000000" w:themeColor="text1"/>
          <w:sz w:val="30"/>
          <w:szCs w:val="30"/>
          <w:lang w:val="en-US" w:eastAsia="zh-CN"/>
          <w14:textFill>
            <w14:solidFill>
              <w14:schemeClr w14:val="tx1"/>
            </w14:solidFill>
          </w14:textFill>
        </w:rPr>
        <w:t>0</w:t>
      </w:r>
      <w:r>
        <w:rPr>
          <w:rFonts w:hint="eastAsia" w:ascii="仿宋" w:hAnsi="仿宋" w:eastAsia="仿宋" w:cs="仿宋"/>
          <w:color w:val="000000" w:themeColor="text1"/>
          <w:sz w:val="30"/>
          <w:szCs w:val="30"/>
          <w14:textFill>
            <w14:solidFill>
              <w14:schemeClr w14:val="tx1"/>
            </w14:solidFill>
          </w14:textFill>
        </w:rPr>
        <w:t>%。2021年度一般公共预算财政拨款</w:t>
      </w:r>
      <w:r>
        <w:rPr>
          <w:rFonts w:hint="eastAsia" w:ascii="仿宋" w:hAnsi="仿宋" w:eastAsia="仿宋" w:cs="仿宋"/>
          <w:color w:val="000000" w:themeColor="text1"/>
          <w:kern w:val="2"/>
          <w:sz w:val="30"/>
          <w:szCs w:val="30"/>
          <w14:textFill>
            <w14:solidFill>
              <w14:schemeClr w14:val="tx1"/>
            </w14:solidFill>
          </w14:textFill>
        </w:rPr>
        <w:t>没有安排</w:t>
      </w:r>
      <w:r>
        <w:rPr>
          <w:rFonts w:hint="eastAsia" w:ascii="仿宋" w:hAnsi="仿宋" w:eastAsia="仿宋" w:cs="仿宋"/>
          <w:color w:val="000000" w:themeColor="text1"/>
          <w:sz w:val="30"/>
          <w:szCs w:val="30"/>
          <w14:textFill>
            <w14:solidFill>
              <w14:schemeClr w14:val="tx1"/>
            </w14:solidFill>
          </w14:textFill>
        </w:rPr>
        <w:t>“三公”经费支出</w:t>
      </w:r>
    </w:p>
    <w:p>
      <w:pPr>
        <w:numPr>
          <w:ilvl w:val="0"/>
          <w:numId w:val="0"/>
        </w:numPr>
        <w:snapToGrid w:val="0"/>
        <w:spacing w:beforeLines="50" w:afterLines="50" w:line="360" w:lineRule="auto"/>
        <w:ind w:leftChars="184"/>
        <w:contextualSpacing/>
        <w:jc w:val="both"/>
        <w:rPr>
          <w:rFonts w:hint="eastAsia" w:ascii="楷体" w:hAnsi="楷体" w:eastAsia="楷体" w:cs="楷体"/>
          <w:sz w:val="30"/>
          <w:szCs w:val="30"/>
          <w:lang w:eastAsia="zh-CN"/>
        </w:rPr>
      </w:pPr>
      <w:r>
        <w:rPr>
          <w:rFonts w:hint="eastAsia" w:ascii="楷体" w:hAnsi="楷体" w:eastAsia="楷体" w:cs="楷体"/>
          <w:sz w:val="30"/>
          <w:szCs w:val="30"/>
          <w:lang w:eastAsia="zh-CN"/>
        </w:rPr>
        <w:t>（二）</w:t>
      </w:r>
      <w:r>
        <w:rPr>
          <w:rFonts w:ascii="楷体" w:hAnsi="楷体" w:eastAsia="楷体" w:cs="楷体"/>
          <w:sz w:val="30"/>
          <w:szCs w:val="30"/>
        </w:rPr>
        <w:t>一般公共预算财政拨款</w:t>
      </w:r>
      <w:r>
        <w:rPr>
          <w:rFonts w:ascii="Times New Roman" w:hAnsi="Times New Roman" w:eastAsia="Times New Roman" w:cs="Times New Roman"/>
          <w:sz w:val="30"/>
          <w:szCs w:val="30"/>
        </w:rPr>
        <w:t>“</w:t>
      </w:r>
      <w:r>
        <w:rPr>
          <w:rFonts w:ascii="楷体" w:hAnsi="楷体" w:eastAsia="楷体" w:cs="楷体"/>
          <w:sz w:val="30"/>
          <w:szCs w:val="30"/>
        </w:rPr>
        <w:t>三公</w:t>
      </w:r>
      <w:r>
        <w:rPr>
          <w:rFonts w:ascii="Times New Roman" w:hAnsi="Times New Roman" w:eastAsia="Times New Roman" w:cs="Times New Roman"/>
          <w:sz w:val="30"/>
          <w:szCs w:val="30"/>
        </w:rPr>
        <w:t>”</w:t>
      </w:r>
      <w:r>
        <w:rPr>
          <w:rFonts w:ascii="楷体" w:hAnsi="楷体" w:eastAsia="楷体" w:cs="楷体"/>
          <w:sz w:val="30"/>
          <w:szCs w:val="30"/>
        </w:rPr>
        <w:t>经费支出决算具体情</w:t>
      </w:r>
      <w:r>
        <w:rPr>
          <w:rFonts w:hint="eastAsia" w:ascii="楷体" w:hAnsi="楷体" w:eastAsia="楷体" w:cs="楷体"/>
          <w:sz w:val="30"/>
          <w:szCs w:val="30"/>
          <w:lang w:eastAsia="zh-CN"/>
        </w:rPr>
        <w:t>况</w:t>
      </w:r>
    </w:p>
    <w:p>
      <w:pPr>
        <w:numPr>
          <w:ilvl w:val="0"/>
          <w:numId w:val="0"/>
        </w:numPr>
        <w:snapToGrid w:val="0"/>
        <w:spacing w:beforeLines="50" w:afterLines="50" w:line="360" w:lineRule="auto"/>
        <w:ind w:leftChars="184" w:firstLine="600" w:firstLineChars="200"/>
        <w:contextualSpacing/>
        <w:jc w:val="both"/>
        <w:rPr>
          <w:rFonts w:hint="eastAsia" w:ascii="仿宋" w:hAnsi="仿宋" w:eastAsia="仿宋" w:cs="仿宋"/>
          <w:sz w:val="30"/>
          <w:szCs w:val="30"/>
        </w:rPr>
      </w:pPr>
      <w:r>
        <w:rPr>
          <w:rFonts w:ascii="仿宋" w:hAnsi="仿宋" w:eastAsia="仿宋" w:cs="仿宋"/>
          <w:sz w:val="30"/>
          <w:szCs w:val="30"/>
        </w:rPr>
        <w:t>2021年度</w:t>
      </w:r>
      <w:r>
        <w:rPr>
          <w:rFonts w:ascii="仿宋_GB2312" w:hAnsi="仿宋_GB2312" w:eastAsia="仿宋_GB2312" w:cs="仿宋_GB2312"/>
          <w:sz w:val="30"/>
          <w:szCs w:val="30"/>
        </w:rPr>
        <w:t>一</w:t>
      </w:r>
      <w:r>
        <w:rPr>
          <w:rFonts w:ascii="仿宋" w:hAnsi="仿宋" w:eastAsia="仿宋" w:cs="仿宋"/>
          <w:sz w:val="30"/>
          <w:szCs w:val="30"/>
        </w:rPr>
        <w:t>般公共预算财政拨款</w:t>
      </w:r>
      <w:r>
        <w:rPr>
          <w:rFonts w:ascii="Times New Roman" w:hAnsi="Times New Roman" w:eastAsia="Times New Roman" w:cs="Times New Roman"/>
          <w:sz w:val="30"/>
          <w:szCs w:val="30"/>
        </w:rPr>
        <w:t>“</w:t>
      </w:r>
      <w:r>
        <w:rPr>
          <w:rFonts w:ascii="仿宋" w:hAnsi="仿宋" w:eastAsia="仿宋" w:cs="仿宋"/>
          <w:sz w:val="30"/>
          <w:szCs w:val="30"/>
        </w:rPr>
        <w:t>三公</w:t>
      </w:r>
      <w:r>
        <w:rPr>
          <w:rFonts w:ascii="Times New Roman" w:hAnsi="Times New Roman" w:eastAsia="Times New Roman" w:cs="Times New Roman"/>
          <w:sz w:val="30"/>
          <w:szCs w:val="30"/>
        </w:rPr>
        <w:t>”</w:t>
      </w:r>
      <w:r>
        <w:rPr>
          <w:rFonts w:ascii="仿宋" w:hAnsi="仿宋" w:eastAsia="仿宋" w:cs="仿宋"/>
          <w:sz w:val="30"/>
          <w:szCs w:val="30"/>
        </w:rPr>
        <w:t>经费支出决算中，因公出国（境）费支出0万元，占0%；公务用车购置及运行维护费支出0万元，占0%；公务接待费支出0万元，占0%。</w:t>
      </w:r>
      <w:r>
        <w:rPr>
          <w:rFonts w:hint="eastAsia" w:ascii="仿宋" w:hAnsi="仿宋" w:eastAsia="仿宋" w:cs="仿宋"/>
          <w:kern w:val="2"/>
          <w:sz w:val="30"/>
          <w:szCs w:val="30"/>
          <w:lang w:val="en-US" w:eastAsia="zh-CN"/>
        </w:rPr>
        <w:t>2021年度没有</w:t>
      </w:r>
      <w:r>
        <w:rPr>
          <w:rFonts w:hint="eastAsia" w:ascii="仿宋" w:hAnsi="仿宋" w:eastAsia="仿宋" w:cs="仿宋"/>
          <w:kern w:val="2"/>
          <w:sz w:val="30"/>
          <w:szCs w:val="30"/>
        </w:rPr>
        <w:t>一般公共预算财政拨款安排的因公出国（境）费、公务用车购置及运行维护费、公务接待费 “三公”经费补助支出。</w:t>
      </w:r>
      <w:r>
        <w:rPr>
          <w:rFonts w:hint="eastAsia" w:ascii="仿宋" w:hAnsi="仿宋" w:eastAsia="仿宋" w:cs="仿宋"/>
          <w:sz w:val="30"/>
          <w:szCs w:val="30"/>
        </w:rPr>
        <w:t>具体情况如下：</w:t>
      </w:r>
    </w:p>
    <w:p>
      <w:pPr>
        <w:numPr>
          <w:ilvl w:val="0"/>
          <w:numId w:val="0"/>
        </w:numPr>
        <w:snapToGrid w:val="0"/>
        <w:spacing w:beforeLines="50" w:afterLines="50" w:line="360" w:lineRule="auto"/>
        <w:ind w:leftChars="284"/>
        <w:contextualSpacing/>
        <w:jc w:val="both"/>
        <w:rPr>
          <w:rFonts w:ascii="仿宋" w:hAnsi="仿宋" w:eastAsia="仿宋" w:cs="仿宋"/>
          <w:b w:val="0"/>
          <w:bCs w:val="0"/>
          <w:sz w:val="30"/>
          <w:szCs w:val="30"/>
        </w:rPr>
      </w:pPr>
      <w:r>
        <w:rPr>
          <w:rFonts w:hint="eastAsia" w:ascii="仿宋" w:hAnsi="仿宋" w:eastAsia="仿宋" w:cs="仿宋"/>
          <w:b w:val="0"/>
          <w:bCs w:val="0"/>
          <w:sz w:val="30"/>
          <w:szCs w:val="30"/>
          <w:lang w:val="en-US" w:eastAsia="zh-CN"/>
        </w:rPr>
        <w:t>1.</w:t>
      </w:r>
      <w:r>
        <w:rPr>
          <w:rFonts w:ascii="仿宋" w:hAnsi="仿宋" w:eastAsia="仿宋" w:cs="仿宋"/>
          <w:b w:val="0"/>
          <w:bCs w:val="0"/>
          <w:sz w:val="30"/>
          <w:szCs w:val="30"/>
        </w:rPr>
        <w:t>因公出国（境）费支出0万元，共安排因公出国（境）团组0个，累计0人次。</w:t>
      </w:r>
    </w:p>
    <w:p>
      <w:pPr>
        <w:numPr>
          <w:ilvl w:val="0"/>
          <w:numId w:val="0"/>
        </w:numPr>
        <w:snapToGrid w:val="0"/>
        <w:spacing w:beforeLines="50" w:afterLines="50" w:line="360" w:lineRule="auto"/>
        <w:ind w:leftChars="284"/>
        <w:contextualSpacing/>
        <w:jc w:val="both"/>
        <w:rPr>
          <w:rFonts w:hint="eastAsia" w:ascii="仿宋" w:hAnsi="仿宋" w:eastAsia="仿宋" w:cs="仿宋"/>
          <w:b w:val="0"/>
          <w:bCs w:val="0"/>
          <w:sz w:val="30"/>
          <w:szCs w:val="30"/>
          <w:lang w:eastAsia="zh-CN"/>
        </w:rPr>
      </w:pPr>
      <w:r>
        <w:rPr>
          <w:rFonts w:hint="eastAsia" w:ascii="仿宋" w:hAnsi="仿宋" w:eastAsia="仿宋" w:cs="仿宋"/>
          <w:b w:val="0"/>
          <w:bCs w:val="0"/>
          <w:kern w:val="2"/>
          <w:sz w:val="30"/>
          <w:szCs w:val="30"/>
          <w:lang w:val="en-US" w:eastAsia="zh-CN" w:bidi="ar-SA"/>
        </w:rPr>
        <w:t>2.</w:t>
      </w:r>
      <w:r>
        <w:rPr>
          <w:rFonts w:ascii="仿宋" w:hAnsi="仿宋" w:eastAsia="仿宋" w:cs="仿宋"/>
          <w:b w:val="0"/>
          <w:bCs w:val="0"/>
          <w:kern w:val="2"/>
          <w:sz w:val="30"/>
          <w:szCs w:val="30"/>
          <w:lang w:val="en-US" w:eastAsia="zh-CN" w:bidi="ar-SA"/>
        </w:rPr>
        <w:t>公务用</w:t>
      </w:r>
      <w:r>
        <w:rPr>
          <w:rFonts w:ascii="仿宋" w:hAnsi="仿宋" w:eastAsia="仿宋" w:cs="仿宋"/>
          <w:b w:val="0"/>
          <w:bCs w:val="0"/>
          <w:sz w:val="30"/>
          <w:szCs w:val="30"/>
        </w:rPr>
        <w:t>车购置及运行维护费支出0万元。其中：</w:t>
      </w:r>
    </w:p>
    <w:p>
      <w:pPr>
        <w:numPr>
          <w:ilvl w:val="0"/>
          <w:numId w:val="0"/>
        </w:numPr>
        <w:snapToGrid w:val="0"/>
        <w:spacing w:beforeLines="50" w:afterLines="50" w:line="360" w:lineRule="auto"/>
        <w:ind w:leftChars="284"/>
        <w:contextualSpacing/>
        <w:jc w:val="both"/>
        <w:rPr>
          <w:rFonts w:ascii="仿宋" w:hAnsi="仿宋" w:eastAsia="仿宋" w:cs="仿宋"/>
          <w:b w:val="0"/>
          <w:bCs w:val="0"/>
          <w:sz w:val="30"/>
          <w:szCs w:val="30"/>
        </w:rPr>
      </w:pPr>
      <w:r>
        <w:rPr>
          <w:rFonts w:ascii="仿宋" w:hAnsi="仿宋" w:eastAsia="仿宋" w:cs="仿宋"/>
          <w:b w:val="0"/>
          <w:bCs w:val="0"/>
          <w:sz w:val="30"/>
          <w:szCs w:val="30"/>
        </w:rPr>
        <w:t>公务用车购置支出0万元，购置车辆0辆。</w:t>
      </w:r>
    </w:p>
    <w:p>
      <w:pPr>
        <w:numPr>
          <w:ilvl w:val="0"/>
          <w:numId w:val="0"/>
        </w:numPr>
        <w:snapToGrid w:val="0"/>
        <w:spacing w:beforeLines="50" w:afterLines="50" w:line="360" w:lineRule="auto"/>
        <w:ind w:leftChars="284"/>
        <w:contextualSpacing/>
        <w:jc w:val="both"/>
        <w:rPr>
          <w:b w:val="0"/>
          <w:bCs w:val="0"/>
          <w:sz w:val="30"/>
          <w:szCs w:val="30"/>
        </w:rPr>
      </w:pPr>
      <w:r>
        <w:rPr>
          <w:rFonts w:ascii="仿宋" w:hAnsi="仿宋" w:eastAsia="仿宋" w:cs="仿宋"/>
          <w:b w:val="0"/>
          <w:bCs w:val="0"/>
          <w:sz w:val="30"/>
          <w:szCs w:val="30"/>
        </w:rPr>
        <w:t>公务用车运行维护支出0万元，开支一般公共预算财政拨款的公务用车保有量为0辆。</w:t>
      </w:r>
    </w:p>
    <w:p>
      <w:pPr>
        <w:pStyle w:val="6"/>
        <w:spacing w:before="240" w:after="240" w:line="590" w:lineRule="atLeast"/>
        <w:ind w:firstLine="602"/>
        <w:jc w:val="left"/>
        <w:rPr>
          <w:b w:val="0"/>
          <w:bCs w:val="0"/>
        </w:rPr>
      </w:pPr>
      <w:r>
        <w:rPr>
          <w:rFonts w:ascii="仿宋" w:hAnsi="仿宋" w:eastAsia="仿宋" w:cs="仿宋"/>
          <w:b w:val="0"/>
          <w:bCs w:val="0"/>
          <w:sz w:val="30"/>
          <w:szCs w:val="30"/>
        </w:rPr>
        <w:t>3.公务接待费支出0万元。其中：</w:t>
      </w:r>
    </w:p>
    <w:p>
      <w:pPr>
        <w:pStyle w:val="6"/>
        <w:spacing w:before="240" w:after="240" w:line="590" w:lineRule="atLeast"/>
        <w:ind w:firstLine="602"/>
        <w:rPr>
          <w:rFonts w:ascii="仿宋" w:hAnsi="仿宋" w:eastAsia="仿宋" w:cs="仿宋"/>
          <w:b w:val="0"/>
          <w:bCs w:val="0"/>
          <w:sz w:val="30"/>
          <w:szCs w:val="30"/>
        </w:rPr>
      </w:pPr>
      <w:r>
        <w:rPr>
          <w:rFonts w:ascii="仿宋" w:hAnsi="仿宋" w:eastAsia="仿宋" w:cs="仿宋"/>
          <w:b w:val="0"/>
          <w:bCs w:val="0"/>
          <w:sz w:val="30"/>
          <w:szCs w:val="30"/>
        </w:rPr>
        <w:t>国内接待费支出0万元（其中：外事接待费支出0万元），共安排国内公务接待0批次（其中：外事接待0批次），接待人次0人（其中：外事接待人次0人）。</w:t>
      </w:r>
    </w:p>
    <w:p>
      <w:pPr>
        <w:pStyle w:val="6"/>
        <w:spacing w:before="240" w:after="240" w:line="590" w:lineRule="atLeast"/>
        <w:ind w:firstLine="602"/>
        <w:rPr>
          <w:b w:val="0"/>
          <w:bCs w:val="0"/>
        </w:rPr>
      </w:pPr>
      <w:r>
        <w:rPr>
          <w:rFonts w:ascii="仿宋" w:hAnsi="仿宋" w:eastAsia="仿宋" w:cs="仿宋"/>
          <w:b w:val="0"/>
          <w:bCs w:val="0"/>
          <w:sz w:val="30"/>
          <w:szCs w:val="30"/>
        </w:rPr>
        <w:t>国（境）外接待费支出0万元，共安排国（境）外公务接待0批次，接待人次0人。</w:t>
      </w:r>
    </w:p>
    <w:p>
      <w:pPr>
        <w:pStyle w:val="6"/>
        <w:spacing w:before="240" w:after="240" w:line="590" w:lineRule="atLeast"/>
        <w:jc w:val="center"/>
      </w:pPr>
      <w:r>
        <w:rPr>
          <w:rFonts w:ascii="黑体" w:hAnsi="黑体" w:eastAsia="黑体" w:cs="黑体"/>
          <w:sz w:val="32"/>
          <w:szCs w:val="32"/>
        </w:rPr>
        <w:t>第四部分 其他重要事项及相关口径情况说明</w:t>
      </w:r>
    </w:p>
    <w:p>
      <w:pPr>
        <w:pStyle w:val="6"/>
        <w:spacing w:before="240" w:after="240" w:line="590" w:lineRule="atLeast"/>
        <w:ind w:firstLine="600"/>
        <w:jc w:val="left"/>
      </w:pPr>
      <w:r>
        <w:rPr>
          <w:rFonts w:ascii="黑体" w:hAnsi="黑体" w:eastAsia="黑体" w:cs="黑体"/>
          <w:sz w:val="30"/>
          <w:szCs w:val="30"/>
        </w:rPr>
        <w:t>一、机关运行经费支出情况</w:t>
      </w:r>
    </w:p>
    <w:p>
      <w:pPr>
        <w:pStyle w:val="6"/>
        <w:spacing w:before="240" w:after="240" w:line="590" w:lineRule="atLeast"/>
        <w:ind w:firstLine="600"/>
        <w:rPr>
          <w:rFonts w:hint="eastAsia" w:eastAsia="仿宋"/>
          <w:lang w:eastAsia="zh-CN"/>
        </w:rPr>
      </w:pPr>
      <w:r>
        <w:rPr>
          <w:rFonts w:ascii="仿宋" w:hAnsi="仿宋" w:eastAsia="仿宋" w:cs="仿宋"/>
          <w:sz w:val="30"/>
          <w:szCs w:val="30"/>
        </w:rPr>
        <w:t>昆明医科大学第一附属医院部门</w:t>
      </w:r>
      <w:r>
        <w:rPr>
          <w:rFonts w:hint="eastAsia" w:ascii="仿宋" w:hAnsi="仿宋" w:eastAsia="仿宋" w:cs="仿宋"/>
          <w:kern w:val="2"/>
          <w:sz w:val="30"/>
          <w:szCs w:val="30"/>
        </w:rPr>
        <w:t>属于财政差额补助拨款</w:t>
      </w:r>
      <w:r>
        <w:rPr>
          <w:rFonts w:hint="eastAsia" w:ascii="仿宋" w:hAnsi="仿宋" w:eastAsia="仿宋" w:cs="仿宋"/>
          <w:kern w:val="2"/>
          <w:sz w:val="30"/>
          <w:szCs w:val="30"/>
          <w:lang w:eastAsia="zh-CN"/>
        </w:rPr>
        <w:t>事业</w:t>
      </w:r>
      <w:r>
        <w:rPr>
          <w:rFonts w:hint="eastAsia" w:ascii="仿宋" w:hAnsi="仿宋" w:eastAsia="仿宋" w:cs="仿宋"/>
          <w:kern w:val="2"/>
          <w:sz w:val="30"/>
          <w:szCs w:val="30"/>
        </w:rPr>
        <w:t>单位</w:t>
      </w:r>
      <w:r>
        <w:rPr>
          <w:rFonts w:hint="eastAsia" w:ascii="仿宋" w:hAnsi="仿宋" w:eastAsia="仿宋" w:cs="仿宋"/>
          <w:kern w:val="2"/>
          <w:sz w:val="30"/>
          <w:szCs w:val="30"/>
          <w:lang w:eastAsia="zh-CN"/>
        </w:rPr>
        <w:t>，</w:t>
      </w:r>
      <w:r>
        <w:rPr>
          <w:rFonts w:hint="eastAsia" w:ascii="仿宋" w:hAnsi="仿宋" w:eastAsia="仿宋" w:cs="仿宋"/>
          <w:sz w:val="30"/>
          <w:szCs w:val="30"/>
        </w:rPr>
        <w:t>2021年机关运行经费支出0</w:t>
      </w:r>
      <w:r>
        <w:rPr>
          <w:rFonts w:ascii="仿宋" w:hAnsi="仿宋" w:eastAsia="仿宋" w:cs="仿宋"/>
          <w:sz w:val="30"/>
          <w:szCs w:val="30"/>
        </w:rPr>
        <w:t>万元</w:t>
      </w:r>
      <w:r>
        <w:rPr>
          <w:rFonts w:hint="eastAsia" w:ascii="仿宋" w:hAnsi="仿宋" w:eastAsia="仿宋" w:cs="仿宋"/>
          <w:sz w:val="30"/>
          <w:szCs w:val="30"/>
          <w:lang w:eastAsia="zh-CN"/>
        </w:rPr>
        <w:t>。</w:t>
      </w:r>
    </w:p>
    <w:p>
      <w:pPr>
        <w:pStyle w:val="6"/>
        <w:spacing w:before="240" w:after="240" w:line="590" w:lineRule="atLeast"/>
        <w:ind w:firstLine="600"/>
        <w:jc w:val="left"/>
      </w:pPr>
      <w:r>
        <w:rPr>
          <w:rFonts w:ascii="黑体" w:hAnsi="黑体" w:eastAsia="黑体" w:cs="黑体"/>
          <w:sz w:val="30"/>
          <w:szCs w:val="30"/>
        </w:rPr>
        <w:t>二、</w:t>
      </w:r>
      <w:r>
        <w:rPr>
          <w:rFonts w:ascii="黑体" w:hAnsi="黑体" w:eastAsia="黑体" w:cs="黑体"/>
          <w:color w:val="000000"/>
          <w:sz w:val="30"/>
          <w:szCs w:val="30"/>
        </w:rPr>
        <w:t>国有资产占用情况</w:t>
      </w:r>
    </w:p>
    <w:p>
      <w:pPr>
        <w:shd w:val="clear" w:color="auto" w:fill="FFFFFF"/>
        <w:autoSpaceDE w:val="0"/>
        <w:autoSpaceDN w:val="0"/>
        <w:snapToGrid w:val="0"/>
        <w:spacing w:beforeLines="50" w:afterLines="50" w:line="360" w:lineRule="auto"/>
        <w:ind w:firstLine="600"/>
        <w:contextualSpacing/>
        <w:jc w:val="both"/>
      </w:pPr>
      <w:r>
        <w:rPr>
          <w:rFonts w:ascii="仿宋" w:hAnsi="仿宋" w:eastAsia="仿宋" w:cs="仿宋"/>
          <w:sz w:val="30"/>
          <w:szCs w:val="30"/>
        </w:rPr>
        <w:t>截至2021年12月31日，昆明医科大学第一附属医院部门资产总</w:t>
      </w:r>
      <w:r>
        <w:rPr>
          <w:rFonts w:hint="eastAsia" w:ascii="仿宋" w:hAnsi="仿宋" w:eastAsia="仿宋" w:cs="仿宋"/>
          <w:color w:val="000000" w:themeColor="text1"/>
          <w:sz w:val="30"/>
          <w:szCs w:val="30"/>
          <w14:textFill>
            <w14:solidFill>
              <w14:schemeClr w14:val="tx1"/>
            </w14:solidFill>
          </w14:textFill>
        </w:rPr>
        <w:t>额</w:t>
      </w:r>
      <w:r>
        <w:rPr>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445</w:t>
      </w:r>
      <w:r>
        <w:rPr>
          <w:rFonts w:ascii="仿宋" w:hAnsi="仿宋" w:eastAsia="仿宋" w:cs="仿宋"/>
          <w:sz w:val="30"/>
          <w:szCs w:val="30"/>
        </w:rPr>
        <w:t>,</w:t>
      </w:r>
      <w:r>
        <w:rPr>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725.72</w:t>
      </w:r>
      <w:r>
        <w:rPr>
          <w:rFonts w:hint="eastAsia" w:ascii="仿宋" w:hAnsi="仿宋" w:eastAsia="仿宋" w:cs="仿宋"/>
          <w:color w:val="000000" w:themeColor="text1"/>
          <w:sz w:val="30"/>
          <w:szCs w:val="30"/>
          <w14:textFill>
            <w14:solidFill>
              <w14:schemeClr w14:val="tx1"/>
            </w14:solidFill>
          </w14:textFill>
        </w:rPr>
        <w:t>万元，其中流动资产</w:t>
      </w:r>
      <w:r>
        <w:rPr>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121</w:t>
      </w:r>
      <w:r>
        <w:rPr>
          <w:rFonts w:ascii="仿宋" w:hAnsi="仿宋" w:eastAsia="仿宋" w:cs="仿宋"/>
          <w:sz w:val="30"/>
          <w:szCs w:val="30"/>
        </w:rPr>
        <w:t>,</w:t>
      </w:r>
      <w:r>
        <w:rPr>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338.36</w:t>
      </w:r>
      <w:r>
        <w:rPr>
          <w:rFonts w:hint="eastAsia" w:ascii="仿宋" w:hAnsi="仿宋" w:eastAsia="仿宋" w:cs="仿宋"/>
          <w:color w:val="000000" w:themeColor="text1"/>
          <w:sz w:val="30"/>
          <w:szCs w:val="30"/>
          <w14:textFill>
            <w14:solidFill>
              <w14:schemeClr w14:val="tx1"/>
            </w14:solidFill>
          </w14:textFill>
        </w:rPr>
        <w:t>万元，固定资产</w:t>
      </w:r>
      <w:r>
        <w:rPr>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252</w:t>
      </w:r>
      <w:r>
        <w:rPr>
          <w:rFonts w:ascii="仿宋" w:hAnsi="仿宋" w:eastAsia="仿宋" w:cs="仿宋"/>
          <w:sz w:val="30"/>
          <w:szCs w:val="30"/>
        </w:rPr>
        <w:t>,</w:t>
      </w:r>
      <w:r>
        <w:rPr>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458.78</w:t>
      </w:r>
      <w:r>
        <w:rPr>
          <w:rFonts w:hint="eastAsia" w:ascii="仿宋" w:hAnsi="仿宋" w:eastAsia="仿宋" w:cs="仿宋"/>
          <w:color w:val="000000" w:themeColor="text1"/>
          <w:sz w:val="30"/>
          <w:szCs w:val="30"/>
          <w14:textFill>
            <w14:solidFill>
              <w14:schemeClr w14:val="tx1"/>
            </w14:solidFill>
          </w14:textFill>
        </w:rPr>
        <w:t>万元</w:t>
      </w:r>
      <w:r>
        <w:rPr>
          <w:rFonts w:hint="eastAsia" w:ascii="仿宋" w:hAnsi="仿宋" w:eastAsia="仿宋" w:cs="仿宋"/>
          <w:color w:val="000000" w:themeColor="text1"/>
          <w:sz w:val="30"/>
          <w:szCs w:val="30"/>
          <w:lang w:eastAsia="zh-CN"/>
          <w14:textFill>
            <w14:solidFill>
              <w14:schemeClr w14:val="tx1"/>
            </w14:solidFill>
          </w14:textFill>
        </w:rPr>
        <w:t>（账面原值</w:t>
      </w:r>
      <w:r>
        <w:rPr>
          <w:rFonts w:hint="eastAsia" w:ascii="仿宋" w:hAnsi="仿宋" w:eastAsia="仿宋" w:cs="仿宋"/>
          <w:color w:val="000000" w:themeColor="text1"/>
          <w:sz w:val="30"/>
          <w:szCs w:val="30"/>
          <w:lang w:val="en-US" w:eastAsia="zh-CN"/>
          <w14:textFill>
            <w14:solidFill>
              <w14:schemeClr w14:val="tx1"/>
            </w14:solidFill>
          </w14:textFill>
        </w:rPr>
        <w:t>448</w:t>
      </w:r>
      <w:r>
        <w:rPr>
          <w:rFonts w:ascii="仿宋" w:hAnsi="仿宋" w:eastAsia="仿宋" w:cs="仿宋"/>
          <w:sz w:val="30"/>
          <w:szCs w:val="30"/>
        </w:rPr>
        <w:t>,</w:t>
      </w:r>
      <w:r>
        <w:rPr>
          <w:rFonts w:hint="eastAsia" w:ascii="仿宋" w:hAnsi="仿宋" w:eastAsia="仿宋" w:cs="仿宋"/>
          <w:color w:val="000000" w:themeColor="text1"/>
          <w:sz w:val="30"/>
          <w:szCs w:val="30"/>
          <w:lang w:val="en-US" w:eastAsia="zh-CN"/>
          <w14:textFill>
            <w14:solidFill>
              <w14:schemeClr w14:val="tx1"/>
            </w14:solidFill>
          </w14:textFill>
        </w:rPr>
        <w:t>780.53万元，固定资产折旧196</w:t>
      </w:r>
      <w:r>
        <w:rPr>
          <w:rFonts w:ascii="仿宋" w:hAnsi="仿宋" w:eastAsia="仿宋" w:cs="仿宋"/>
          <w:sz w:val="30"/>
          <w:szCs w:val="30"/>
        </w:rPr>
        <w:t>,</w:t>
      </w:r>
      <w:r>
        <w:rPr>
          <w:rFonts w:hint="eastAsia" w:ascii="仿宋" w:hAnsi="仿宋" w:eastAsia="仿宋" w:cs="仿宋"/>
          <w:color w:val="000000" w:themeColor="text1"/>
          <w:sz w:val="30"/>
          <w:szCs w:val="30"/>
          <w:lang w:val="en-US" w:eastAsia="zh-CN"/>
          <w14:textFill>
            <w14:solidFill>
              <w14:schemeClr w14:val="tx1"/>
            </w14:solidFill>
          </w14:textFill>
        </w:rPr>
        <w:t>321.75万元</w:t>
      </w: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t>，对外投资及有价证券</w:t>
      </w:r>
      <w:r>
        <w:rPr>
          <w:rFonts w:hint="eastAsia" w:ascii="仿宋" w:hAnsi="仿宋" w:eastAsia="仿宋" w:cs="仿宋"/>
          <w:color w:val="000000" w:themeColor="text1"/>
          <w:sz w:val="30"/>
          <w:szCs w:val="30"/>
          <w:lang w:val="en-US" w:eastAsia="zh-CN"/>
          <w14:textFill>
            <w14:solidFill>
              <w14:schemeClr w14:val="tx1"/>
            </w14:solidFill>
          </w14:textFill>
        </w:rPr>
        <w:t>590.00</w:t>
      </w:r>
      <w:r>
        <w:rPr>
          <w:rFonts w:hint="eastAsia" w:ascii="仿宋" w:hAnsi="仿宋" w:eastAsia="仿宋" w:cs="仿宋"/>
          <w:color w:val="000000" w:themeColor="text1"/>
          <w:sz w:val="30"/>
          <w:szCs w:val="30"/>
          <w14:textFill>
            <w14:solidFill>
              <w14:schemeClr w14:val="tx1"/>
            </w14:solidFill>
          </w14:textFill>
        </w:rPr>
        <w:t>万元，在建工程</w:t>
      </w:r>
      <w:r>
        <w:rPr>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67</w:t>
      </w:r>
      <w:r>
        <w:rPr>
          <w:rFonts w:ascii="仿宋" w:hAnsi="仿宋" w:eastAsia="仿宋" w:cs="仿宋"/>
          <w:sz w:val="30"/>
          <w:szCs w:val="30"/>
        </w:rPr>
        <w:t>,</w:t>
      </w:r>
      <w:r>
        <w:rPr>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319.58</w:t>
      </w:r>
      <w:r>
        <w:rPr>
          <w:rFonts w:hint="eastAsia" w:ascii="仿宋" w:hAnsi="仿宋" w:eastAsia="仿宋" w:cs="仿宋"/>
          <w:color w:val="000000" w:themeColor="text1"/>
          <w:sz w:val="30"/>
          <w:szCs w:val="30"/>
          <w14:textFill>
            <w14:solidFill>
              <w14:schemeClr w14:val="tx1"/>
            </w14:solidFill>
          </w14:textFill>
        </w:rPr>
        <w:t>万元，无形资产</w:t>
      </w:r>
      <w:r>
        <w:rPr>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3</w:t>
      </w:r>
      <w:r>
        <w:rPr>
          <w:rFonts w:ascii="仿宋" w:hAnsi="仿宋" w:eastAsia="仿宋" w:cs="仿宋"/>
          <w:sz w:val="30"/>
          <w:szCs w:val="30"/>
        </w:rPr>
        <w:t>,</w:t>
      </w:r>
      <w:r>
        <w:rPr>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447.82</w:t>
      </w:r>
      <w:r>
        <w:rPr>
          <w:rFonts w:hint="eastAsia" w:ascii="仿宋" w:hAnsi="仿宋" w:eastAsia="仿宋" w:cs="仿宋"/>
          <w:color w:val="000000" w:themeColor="text1"/>
          <w:sz w:val="30"/>
          <w:szCs w:val="30"/>
          <w14:textFill>
            <w14:solidFill>
              <w14:schemeClr w14:val="tx1"/>
            </w14:solidFill>
          </w14:textFill>
        </w:rPr>
        <w:t>万元</w:t>
      </w:r>
      <w:r>
        <w:rPr>
          <w:rFonts w:hint="eastAsia" w:ascii="仿宋" w:hAnsi="仿宋" w:eastAsia="仿宋" w:cs="仿宋"/>
          <w:color w:val="000000" w:themeColor="text1"/>
          <w:sz w:val="30"/>
          <w:szCs w:val="30"/>
          <w:lang w:eastAsia="zh-CN"/>
          <w14:textFill>
            <w14:solidFill>
              <w14:schemeClr w14:val="tx1"/>
            </w14:solidFill>
          </w14:textFill>
        </w:rPr>
        <w:t>（账面原值</w:t>
      </w:r>
      <w:r>
        <w:rPr>
          <w:rFonts w:hint="eastAsia" w:ascii="仿宋" w:hAnsi="仿宋" w:eastAsia="仿宋" w:cs="仿宋"/>
          <w:color w:val="000000" w:themeColor="text1"/>
          <w:sz w:val="30"/>
          <w:szCs w:val="30"/>
          <w:lang w:val="en-US" w:eastAsia="zh-CN"/>
          <w14:textFill>
            <w14:solidFill>
              <w14:schemeClr w14:val="tx1"/>
            </w14:solidFill>
          </w14:textFill>
        </w:rPr>
        <w:t>8</w:t>
      </w:r>
      <w:r>
        <w:rPr>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w:t>
      </w:r>
      <w:r>
        <w:rPr>
          <w:rFonts w:hint="eastAsia" w:ascii="仿宋" w:hAnsi="仿宋" w:eastAsia="仿宋" w:cs="仿宋"/>
          <w:color w:val="000000" w:themeColor="text1"/>
          <w:sz w:val="30"/>
          <w:szCs w:val="30"/>
          <w:lang w:val="en-US" w:eastAsia="zh-CN"/>
          <w14:textFill>
            <w14:solidFill>
              <w14:schemeClr w14:val="tx1"/>
            </w14:solidFill>
          </w14:textFill>
        </w:rPr>
        <w:t>032.28万元，折旧4</w:t>
      </w:r>
      <w:r>
        <w:rPr>
          <w:rFonts w:ascii="仿宋" w:hAnsi="仿宋" w:eastAsia="仿宋" w:cs="仿宋"/>
          <w:sz w:val="30"/>
          <w:szCs w:val="30"/>
        </w:rPr>
        <w:t>,</w:t>
      </w:r>
      <w:r>
        <w:rPr>
          <w:rFonts w:hint="eastAsia" w:ascii="仿宋" w:hAnsi="仿宋" w:eastAsia="仿宋" w:cs="仿宋"/>
          <w:color w:val="000000" w:themeColor="text1"/>
          <w:sz w:val="30"/>
          <w:szCs w:val="30"/>
          <w:lang w:val="en-US" w:eastAsia="zh-CN"/>
          <w14:textFill>
            <w14:solidFill>
              <w14:schemeClr w14:val="tx1"/>
            </w14:solidFill>
          </w14:textFill>
        </w:rPr>
        <w:t>584.46万元</w:t>
      </w: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t>，其他资产</w:t>
      </w:r>
      <w:r>
        <w:rPr>
          <w:rFonts w:hint="eastAsia" w:ascii="仿宋" w:hAnsi="仿宋" w:eastAsia="仿宋" w:cs="仿宋"/>
          <w:color w:val="000000" w:themeColor="text1"/>
          <w:sz w:val="30"/>
          <w:szCs w:val="30"/>
          <w:lang w:val="en-US" w:eastAsia="zh-CN"/>
          <w14:textFill>
            <w14:solidFill>
              <w14:schemeClr w14:val="tx1"/>
            </w14:solidFill>
          </w14:textFill>
        </w:rPr>
        <w:t>571.18</w:t>
      </w:r>
      <w:r>
        <w:rPr>
          <w:rFonts w:hint="eastAsia" w:ascii="仿宋" w:hAnsi="仿宋" w:eastAsia="仿宋" w:cs="仿宋"/>
          <w:color w:val="000000" w:themeColor="text1"/>
          <w:sz w:val="30"/>
          <w:szCs w:val="30"/>
          <w14:textFill>
            <w14:solidFill>
              <w14:schemeClr w14:val="tx1"/>
            </w14:solidFill>
          </w14:textFill>
        </w:rPr>
        <w:t>万元（具体内容详见附表）。</w:t>
      </w:r>
      <w:r>
        <w:rPr>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与上年相比，本年资产总额增加46</w:t>
      </w:r>
      <w:r>
        <w:rPr>
          <w:rFonts w:ascii="仿宋" w:hAnsi="仿宋" w:eastAsia="仿宋" w:cs="仿宋"/>
          <w:sz w:val="30"/>
          <w:szCs w:val="30"/>
        </w:rPr>
        <w:t>,</w:t>
      </w:r>
      <w:r>
        <w:rPr>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346.9万元，其中固定资产增加8</w:t>
      </w:r>
      <w:r>
        <w:rPr>
          <w:rFonts w:ascii="仿宋" w:hAnsi="仿宋" w:eastAsia="仿宋" w:cs="仿宋"/>
          <w:sz w:val="30"/>
          <w:szCs w:val="30"/>
        </w:rPr>
        <w:t>,</w:t>
      </w:r>
      <w:r>
        <w:rPr>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136.87万元。</w:t>
      </w:r>
      <w:r>
        <w:rPr>
          <w:rFonts w:hint="eastAsia" w:ascii="仿宋" w:hAnsi="仿宋" w:eastAsia="仿宋" w:cs="仿宋"/>
          <w:color w:val="000000" w:themeColor="text1"/>
          <w:sz w:val="30"/>
          <w:szCs w:val="30"/>
          <w14:textFill>
            <w14:solidFill>
              <w14:schemeClr w14:val="tx1"/>
            </w14:solidFill>
          </w14:textFill>
        </w:rPr>
        <w:t>本年没有处</w:t>
      </w:r>
      <w:r>
        <w:rPr>
          <w:rFonts w:hint="eastAsia" w:ascii="仿宋" w:hAnsi="仿宋" w:eastAsia="仿宋" w:cs="仿宋"/>
          <w:color w:val="000000" w:themeColor="text1"/>
          <w:sz w:val="30"/>
          <w:szCs w:val="30"/>
          <w:shd w:val="clear" w:color="auto" w:fill="FFFFFF"/>
          <w14:textFill>
            <w14:solidFill>
              <w14:schemeClr w14:val="tx1"/>
            </w14:solidFill>
          </w14:textFill>
        </w:rPr>
        <w:t>置房屋建筑物</w:t>
      </w:r>
      <w:r>
        <w:rPr>
          <w:rFonts w:hint="eastAsia" w:ascii="仿宋" w:hAnsi="仿宋" w:eastAsia="仿宋" w:cs="仿宋"/>
          <w:color w:val="000000" w:themeColor="text1"/>
          <w:sz w:val="30"/>
          <w:szCs w:val="30"/>
          <w:shd w:val="clear" w:color="auto" w:fill="FFFFFF"/>
          <w:lang w:eastAsia="zh-CN"/>
          <w14:textFill>
            <w14:solidFill>
              <w14:schemeClr w14:val="tx1"/>
            </w14:solidFill>
          </w14:textFill>
        </w:rPr>
        <w:t>及车辆</w:t>
      </w:r>
      <w:r>
        <w:rPr>
          <w:rFonts w:hint="eastAsia" w:ascii="仿宋" w:hAnsi="仿宋" w:eastAsia="仿宋" w:cs="仿宋"/>
          <w:color w:val="000000" w:themeColor="text1"/>
          <w:sz w:val="30"/>
          <w:szCs w:val="30"/>
          <w14:textFill>
            <w14:solidFill>
              <w14:schemeClr w14:val="tx1"/>
            </w14:solidFill>
          </w14:textFill>
        </w:rPr>
        <w:t>情况</w:t>
      </w: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lang w:val="en-US" w:eastAsia="zh-CN"/>
          <w14:textFill>
            <w14:solidFill>
              <w14:schemeClr w14:val="tx1"/>
            </w14:solidFill>
          </w14:textFill>
        </w:rPr>
        <w:t>无</w:t>
      </w:r>
      <w:r>
        <w:rPr>
          <w:rFonts w:hint="eastAsia" w:ascii="仿宋" w:hAnsi="仿宋" w:eastAsia="仿宋" w:cs="仿宋"/>
          <w:color w:val="000000" w:themeColor="text1"/>
          <w:sz w:val="30"/>
          <w:szCs w:val="30"/>
          <w14:textFill>
            <w14:solidFill>
              <w14:schemeClr w14:val="tx1"/>
            </w14:solidFill>
          </w14:textFill>
        </w:rPr>
        <w:t>报废报损资产</w:t>
      </w:r>
      <w:r>
        <w:rPr>
          <w:rFonts w:hint="eastAsia" w:ascii="仿宋" w:hAnsi="仿宋" w:eastAsia="仿宋" w:cs="仿宋"/>
          <w:color w:val="000000" w:themeColor="text1"/>
          <w:sz w:val="30"/>
          <w:szCs w:val="30"/>
          <w:lang w:eastAsia="zh-CN"/>
          <w14:textFill>
            <w14:solidFill>
              <w14:schemeClr w14:val="tx1"/>
            </w14:solidFill>
          </w14:textFill>
        </w:rPr>
        <w:t>情况。</w:t>
      </w:r>
      <w:r>
        <w:rPr>
          <w:rFonts w:hint="eastAsia" w:ascii="仿宋" w:hAnsi="仿宋" w:eastAsia="仿宋" w:cs="仿宋"/>
          <w:color w:val="000000" w:themeColor="text1"/>
          <w:sz w:val="30"/>
          <w:szCs w:val="30"/>
          <w:lang w:val="en-US" w:eastAsia="zh-CN"/>
          <w14:textFill>
            <w14:solidFill>
              <w14:schemeClr w14:val="tx1"/>
            </w14:solidFill>
          </w14:textFill>
        </w:rPr>
        <w:t>2021年收到2020年报废</w:t>
      </w:r>
      <w:r>
        <w:rPr>
          <w:rFonts w:hint="eastAsia" w:ascii="仿宋" w:hAnsi="仿宋" w:eastAsia="仿宋" w:cs="仿宋"/>
          <w:color w:val="000000" w:themeColor="text1"/>
          <w:sz w:val="30"/>
          <w:szCs w:val="30"/>
          <w14:textFill>
            <w14:solidFill>
              <w14:schemeClr w14:val="tx1"/>
            </w14:solidFill>
          </w14:textFill>
        </w:rPr>
        <w:t>资产处置收入</w:t>
      </w:r>
      <w:r>
        <w:rPr>
          <w:rFonts w:hint="eastAsia" w:ascii="仿宋" w:hAnsi="仿宋" w:eastAsia="仿宋" w:cs="仿宋"/>
          <w:color w:val="000000" w:themeColor="text1"/>
          <w:sz w:val="30"/>
          <w:szCs w:val="30"/>
          <w:lang w:val="en-US" w:eastAsia="zh-CN"/>
          <w14:textFill>
            <w14:solidFill>
              <w14:schemeClr w14:val="tx1"/>
            </w14:solidFill>
          </w14:textFill>
        </w:rPr>
        <w:t>0.96万元，</w:t>
      </w:r>
      <w:r>
        <w:rPr>
          <w:rFonts w:hint="eastAsia" w:ascii="仿宋" w:hAnsi="仿宋" w:eastAsia="仿宋" w:cs="仿宋"/>
          <w:color w:val="000000" w:themeColor="text1"/>
          <w:sz w:val="30"/>
          <w:szCs w:val="30"/>
          <w14:textFill>
            <w14:solidFill>
              <w14:schemeClr w14:val="tx1"/>
            </w14:solidFill>
          </w14:textFill>
        </w:rPr>
        <w:t>出租房屋</w:t>
      </w:r>
      <w:r>
        <w:rPr>
          <w:rFonts w:hint="eastAsia" w:ascii="仿宋" w:hAnsi="仿宋" w:eastAsia="仿宋" w:cs="仿宋"/>
          <w:color w:val="000000" w:themeColor="text1"/>
          <w:sz w:val="30"/>
          <w:szCs w:val="30"/>
          <w:shd w:val="clear" w:color="auto" w:fill="FFFFFF"/>
          <w:lang w:val="en-US" w:eastAsia="zh-CN"/>
          <w14:textFill>
            <w14:solidFill>
              <w14:schemeClr w14:val="tx1"/>
            </w14:solidFill>
          </w14:textFill>
        </w:rPr>
        <w:t>6522.5</w:t>
      </w:r>
      <w:r>
        <w:rPr>
          <w:rFonts w:hint="eastAsia" w:ascii="仿宋" w:hAnsi="仿宋" w:eastAsia="仿宋" w:cs="仿宋"/>
          <w:color w:val="000000" w:themeColor="text1"/>
          <w:sz w:val="30"/>
          <w:szCs w:val="30"/>
          <w14:textFill>
            <w14:solidFill>
              <w14:schemeClr w14:val="tx1"/>
            </w14:solidFill>
          </w14:textFill>
        </w:rPr>
        <w:t>平方米，账面原值</w:t>
      </w:r>
      <w:r>
        <w:rPr>
          <w:rFonts w:hint="eastAsia" w:ascii="仿宋" w:hAnsi="仿宋" w:eastAsia="仿宋" w:cs="仿宋"/>
          <w:color w:val="000000" w:themeColor="text1"/>
          <w:sz w:val="30"/>
          <w:szCs w:val="30"/>
          <w:shd w:val="clear" w:color="auto" w:fill="FFFFFF"/>
          <w:lang w:val="en-US" w:eastAsia="zh-CN"/>
          <w14:textFill>
            <w14:solidFill>
              <w14:schemeClr w14:val="tx1"/>
            </w14:solidFill>
          </w14:textFill>
        </w:rPr>
        <w:t>4</w:t>
      </w:r>
      <w:r>
        <w:rPr>
          <w:rFonts w:ascii="仿宋" w:hAnsi="仿宋" w:eastAsia="仿宋" w:cs="仿宋"/>
          <w:sz w:val="30"/>
          <w:szCs w:val="30"/>
        </w:rPr>
        <w:t>,</w:t>
      </w:r>
      <w:r>
        <w:rPr>
          <w:rFonts w:hint="eastAsia" w:ascii="仿宋" w:hAnsi="仿宋" w:eastAsia="仿宋" w:cs="仿宋"/>
          <w:color w:val="000000" w:themeColor="text1"/>
          <w:sz w:val="30"/>
          <w:szCs w:val="30"/>
          <w:shd w:val="clear" w:color="auto" w:fill="FFFFFF"/>
          <w:lang w:val="en-US" w:eastAsia="zh-CN"/>
          <w14:textFill>
            <w14:solidFill>
              <w14:schemeClr w14:val="tx1"/>
            </w14:solidFill>
          </w14:textFill>
        </w:rPr>
        <w:t>394.85</w:t>
      </w:r>
      <w:r>
        <w:rPr>
          <w:rFonts w:hint="eastAsia" w:ascii="仿宋" w:hAnsi="仿宋" w:eastAsia="仿宋" w:cs="仿宋"/>
          <w:color w:val="000000" w:themeColor="text1"/>
          <w:sz w:val="30"/>
          <w:szCs w:val="30"/>
          <w14:textFill>
            <w14:solidFill>
              <w14:schemeClr w14:val="tx1"/>
            </w14:solidFill>
          </w14:textFill>
        </w:rPr>
        <w:t>万元，实现资产使用收入</w:t>
      </w:r>
      <w:r>
        <w:rPr>
          <w:rFonts w:hint="eastAsia" w:ascii="仿宋" w:hAnsi="仿宋" w:eastAsia="仿宋" w:cs="仿宋"/>
          <w:color w:val="000000" w:themeColor="text1"/>
          <w:sz w:val="30"/>
          <w:szCs w:val="30"/>
          <w:lang w:val="en-US" w:eastAsia="zh-CN"/>
          <w14:textFill>
            <w14:solidFill>
              <w14:schemeClr w14:val="tx1"/>
            </w14:solidFill>
          </w14:textFill>
        </w:rPr>
        <w:t>81.52</w:t>
      </w:r>
      <w:r>
        <w:rPr>
          <w:rFonts w:hint="eastAsia" w:ascii="仿宋" w:hAnsi="仿宋" w:eastAsia="仿宋" w:cs="仿宋"/>
          <w:color w:val="000000" w:themeColor="text1"/>
          <w:sz w:val="30"/>
          <w:szCs w:val="30"/>
          <w14:textFill>
            <w14:solidFill>
              <w14:schemeClr w14:val="tx1"/>
            </w14:solidFill>
          </w14:textFill>
        </w:rPr>
        <w:t>万元</w:t>
      </w:r>
      <w:r>
        <w:rPr>
          <w:rFonts w:hint="eastAsia" w:ascii="仿宋" w:hAnsi="仿宋" w:eastAsia="仿宋" w:cs="仿宋"/>
          <w:color w:val="000000" w:themeColor="text1"/>
          <w:sz w:val="30"/>
          <w:szCs w:val="30"/>
          <w:lang w:eastAsia="zh-CN"/>
          <w14:textFill>
            <w14:solidFill>
              <w14:schemeClr w14:val="tx1"/>
            </w14:solidFill>
          </w14:textFill>
        </w:rPr>
        <w:t>。</w:t>
      </w:r>
    </w:p>
    <w:tbl>
      <w:tblPr>
        <w:tblStyle w:val="7"/>
        <w:tblW w:w="0" w:type="auto"/>
        <w:jc w:val="center"/>
        <w:tblLayout w:type="fixed"/>
        <w:tblCellMar>
          <w:top w:w="0" w:type="dxa"/>
          <w:left w:w="0" w:type="dxa"/>
          <w:bottom w:w="0" w:type="dxa"/>
          <w:right w:w="0" w:type="dxa"/>
        </w:tblCellMar>
      </w:tblPr>
      <w:tblGrid>
        <w:gridCol w:w="637"/>
        <w:gridCol w:w="444"/>
        <w:gridCol w:w="924"/>
        <w:gridCol w:w="960"/>
        <w:gridCol w:w="888"/>
        <w:gridCol w:w="996"/>
        <w:gridCol w:w="684"/>
        <w:gridCol w:w="972"/>
        <w:gridCol w:w="900"/>
        <w:gridCol w:w="696"/>
        <w:gridCol w:w="972"/>
        <w:gridCol w:w="792"/>
        <w:gridCol w:w="697"/>
        <w:gridCol w:w="156"/>
      </w:tblGrid>
      <w:tr>
        <w:tblPrEx>
          <w:tblCellMar>
            <w:top w:w="0" w:type="dxa"/>
            <w:left w:w="0" w:type="dxa"/>
            <w:bottom w:w="0" w:type="dxa"/>
            <w:right w:w="0" w:type="dxa"/>
          </w:tblCellMar>
        </w:tblPrEx>
        <w:trPr>
          <w:trHeight w:val="390" w:hRule="atLeast"/>
          <w:jc w:val="center"/>
        </w:trPr>
        <w:tc>
          <w:tcPr>
            <w:tcW w:w="10562" w:type="dxa"/>
            <w:gridSpan w:val="13"/>
            <w:shd w:val="clear" w:color="auto" w:fill="FFFFFF"/>
            <w:noWrap w:val="0"/>
            <w:tcMar>
              <w:top w:w="5" w:type="dxa"/>
              <w:left w:w="113" w:type="dxa"/>
              <w:bottom w:w="5" w:type="dxa"/>
              <w:right w:w="113" w:type="dxa"/>
            </w:tcMar>
            <w:vAlign w:val="center"/>
          </w:tcPr>
          <w:p>
            <w:pPr>
              <w:pStyle w:val="6"/>
              <w:jc w:val="center"/>
              <w:rPr>
                <w:b w:val="0"/>
                <w:bCs w:val="0"/>
                <w:i w:val="0"/>
                <w:iCs w:val="0"/>
                <w:smallCaps w:val="0"/>
                <w:color w:val="000000"/>
              </w:rPr>
            </w:pPr>
            <w:r>
              <w:rPr>
                <w:rFonts w:ascii="仿宋_GB2312" w:hAnsi="仿宋_GB2312" w:eastAsia="仿宋_GB2312" w:cs="仿宋_GB2312"/>
                <w:b/>
                <w:bCs/>
                <w:i w:val="0"/>
                <w:iCs w:val="0"/>
                <w:smallCaps w:val="0"/>
                <w:color w:val="000000"/>
                <w:sz w:val="30"/>
                <w:szCs w:val="30"/>
              </w:rPr>
              <w:t>国有资产占有使用情况表</w:t>
            </w:r>
          </w:p>
        </w:tc>
        <w:tc>
          <w:tcPr>
            <w:tcW w:w="156" w:type="dxa"/>
            <w:shd w:val="clear" w:color="auto" w:fill="auto"/>
            <w:noWrap w:val="0"/>
            <w:tcMar>
              <w:top w:w="5" w:type="dxa"/>
              <w:left w:w="5" w:type="dxa"/>
              <w:bottom w:w="5" w:type="dxa"/>
              <w:right w:w="5" w:type="dxa"/>
            </w:tcMar>
            <w:vAlign w:val="center"/>
          </w:tcPr>
          <w:p>
            <w:pPr>
              <w:rPr>
                <w:b w:val="0"/>
                <w:bCs w:val="0"/>
                <w:i w:val="0"/>
                <w:iCs w:val="0"/>
                <w:smallCaps w:val="0"/>
                <w:color w:val="000000"/>
              </w:rPr>
            </w:pPr>
            <w:r>
              <w:rPr>
                <w:b w:val="0"/>
                <w:bCs w:val="0"/>
                <w:i w:val="0"/>
                <w:iCs w:val="0"/>
                <w:smallCaps w:val="0"/>
                <w:color w:val="000000"/>
              </w:rPr>
              <w:t> </w:t>
            </w:r>
          </w:p>
        </w:tc>
      </w:tr>
      <w:tr>
        <w:tblPrEx>
          <w:tblCellMar>
            <w:top w:w="0" w:type="dxa"/>
            <w:left w:w="0" w:type="dxa"/>
            <w:bottom w:w="0" w:type="dxa"/>
            <w:right w:w="0" w:type="dxa"/>
          </w:tblCellMar>
        </w:tblPrEx>
        <w:trPr>
          <w:trHeight w:val="270" w:hRule="atLeast"/>
          <w:jc w:val="center"/>
        </w:trPr>
        <w:tc>
          <w:tcPr>
            <w:tcW w:w="6505" w:type="dxa"/>
            <w:gridSpan w:val="8"/>
            <w:shd w:val="clear" w:color="auto" w:fill="FFFFFF"/>
            <w:noWrap w:val="0"/>
            <w:tcMar>
              <w:top w:w="5" w:type="dxa"/>
              <w:left w:w="113" w:type="dxa"/>
              <w:bottom w:w="5" w:type="dxa"/>
              <w:right w:w="113" w:type="dxa"/>
            </w:tcMar>
            <w:vAlign w:val="center"/>
          </w:tcPr>
          <w:p>
            <w:pPr>
              <w:pStyle w:val="6"/>
              <w:jc w:val="left"/>
              <w:rPr>
                <w:b w:val="0"/>
                <w:bCs w:val="0"/>
                <w:i w:val="0"/>
                <w:iCs w:val="0"/>
                <w:smallCaps w:val="0"/>
                <w:color w:val="000000"/>
              </w:rPr>
            </w:pPr>
            <w:r>
              <w:rPr>
                <w:rFonts w:ascii="宋体" w:hAnsi="宋体" w:eastAsia="宋体" w:cs="宋体"/>
                <w:b w:val="0"/>
                <w:bCs w:val="0"/>
                <w:i w:val="0"/>
                <w:iCs w:val="0"/>
                <w:smallCaps w:val="0"/>
                <w:color w:val="000000"/>
                <w:sz w:val="20"/>
                <w:szCs w:val="20"/>
                <w:lang w:val="en-US" w:eastAsia="en-US"/>
              </w:rPr>
              <w:t> </w:t>
            </w:r>
          </w:p>
        </w:tc>
        <w:tc>
          <w:tcPr>
            <w:tcW w:w="900" w:type="dxa"/>
            <w:shd w:val="clear" w:color="auto" w:fill="FFFFFF"/>
            <w:noWrap w:val="0"/>
            <w:tcMar>
              <w:top w:w="5" w:type="dxa"/>
              <w:left w:w="113" w:type="dxa"/>
              <w:bottom w:w="5" w:type="dxa"/>
              <w:right w:w="113" w:type="dxa"/>
            </w:tcMar>
            <w:vAlign w:val="center"/>
          </w:tcPr>
          <w:p>
            <w:pPr>
              <w:pStyle w:val="6"/>
              <w:jc w:val="left"/>
              <w:rPr>
                <w:b w:val="0"/>
                <w:bCs w:val="0"/>
                <w:i w:val="0"/>
                <w:iCs w:val="0"/>
                <w:smallCaps w:val="0"/>
                <w:color w:val="000000"/>
              </w:rPr>
            </w:pPr>
            <w:r>
              <w:rPr>
                <w:rFonts w:ascii="宋体" w:hAnsi="宋体" w:eastAsia="宋体" w:cs="宋体"/>
                <w:b w:val="0"/>
                <w:bCs w:val="0"/>
                <w:i w:val="0"/>
                <w:iCs w:val="0"/>
                <w:smallCaps w:val="0"/>
                <w:color w:val="000000"/>
                <w:sz w:val="20"/>
                <w:szCs w:val="20"/>
              </w:rPr>
              <w:t>　</w:t>
            </w:r>
          </w:p>
        </w:tc>
        <w:tc>
          <w:tcPr>
            <w:tcW w:w="3157" w:type="dxa"/>
            <w:gridSpan w:val="4"/>
            <w:tcBorders>
              <w:bottom w:val="single" w:color="000000" w:sz="8" w:space="0"/>
            </w:tcBorders>
            <w:shd w:val="clear" w:color="auto" w:fill="FFFFFF"/>
            <w:noWrap w:val="0"/>
            <w:tcMar>
              <w:top w:w="5" w:type="dxa"/>
              <w:left w:w="113" w:type="dxa"/>
              <w:bottom w:w="10" w:type="dxa"/>
              <w:right w:w="113" w:type="dxa"/>
            </w:tcMar>
            <w:vAlign w:val="center"/>
          </w:tcPr>
          <w:p>
            <w:pPr>
              <w:pStyle w:val="6"/>
              <w:jc w:val="right"/>
              <w:rPr>
                <w:b w:val="0"/>
                <w:bCs w:val="0"/>
                <w:i w:val="0"/>
                <w:iCs w:val="0"/>
                <w:smallCaps w:val="0"/>
                <w:color w:val="000000"/>
              </w:rPr>
            </w:pPr>
            <w:r>
              <w:rPr>
                <w:rFonts w:ascii="宋体" w:hAnsi="宋体" w:eastAsia="宋体" w:cs="宋体"/>
                <w:b w:val="0"/>
                <w:bCs w:val="0"/>
                <w:i w:val="0"/>
                <w:iCs w:val="0"/>
                <w:smallCaps w:val="0"/>
                <w:color w:val="000000"/>
                <w:sz w:val="20"/>
                <w:szCs w:val="20"/>
              </w:rPr>
              <w:t>单位：万元</w:t>
            </w:r>
          </w:p>
        </w:tc>
        <w:tc>
          <w:tcPr>
            <w:tcW w:w="156" w:type="dxa"/>
            <w:shd w:val="clear" w:color="auto" w:fill="auto"/>
            <w:noWrap w:val="0"/>
            <w:tcMar>
              <w:top w:w="5" w:type="dxa"/>
              <w:left w:w="5" w:type="dxa"/>
              <w:bottom w:w="5" w:type="dxa"/>
              <w:right w:w="5" w:type="dxa"/>
            </w:tcMar>
            <w:vAlign w:val="center"/>
          </w:tcPr>
          <w:p>
            <w:pPr>
              <w:rPr>
                <w:b w:val="0"/>
                <w:bCs w:val="0"/>
                <w:i w:val="0"/>
                <w:iCs w:val="0"/>
                <w:smallCaps w:val="0"/>
                <w:color w:val="000000"/>
              </w:rPr>
            </w:pPr>
            <w:r>
              <w:rPr>
                <w:b w:val="0"/>
                <w:bCs w:val="0"/>
                <w:i w:val="0"/>
                <w:iCs w:val="0"/>
                <w:smallCaps w:val="0"/>
                <w:color w:val="000000"/>
              </w:rPr>
              <w:t> </w:t>
            </w:r>
          </w:p>
        </w:tc>
      </w:tr>
      <w:tr>
        <w:tblPrEx>
          <w:tblCellMar>
            <w:top w:w="0" w:type="dxa"/>
            <w:left w:w="0" w:type="dxa"/>
            <w:bottom w:w="0" w:type="dxa"/>
            <w:right w:w="0" w:type="dxa"/>
          </w:tblCellMar>
        </w:tblPrEx>
        <w:trPr>
          <w:trHeight w:val="270" w:hRule="atLeast"/>
          <w:jc w:val="center"/>
        </w:trPr>
        <w:tc>
          <w:tcPr>
            <w:tcW w:w="637" w:type="dxa"/>
            <w:vMerge w:val="restart"/>
            <w:tcBorders>
              <w:top w:val="single" w:color="000000" w:sz="8" w:space="0"/>
              <w:left w:val="single" w:color="000000" w:sz="8" w:space="0"/>
              <w:bottom w:val="single" w:color="000000" w:sz="8" w:space="0"/>
              <w:right w:val="single" w:color="000000" w:sz="8" w:space="0"/>
            </w:tcBorders>
            <w:noWrap w:val="0"/>
            <w:tcMar>
              <w:top w:w="10" w:type="dxa"/>
              <w:left w:w="118" w:type="dxa"/>
              <w:bottom w:w="10" w:type="dxa"/>
              <w:right w:w="118" w:type="dxa"/>
            </w:tcMar>
            <w:vAlign w:val="center"/>
          </w:tcPr>
          <w:p>
            <w:pPr>
              <w:pStyle w:val="6"/>
              <w:jc w:val="center"/>
              <w:rPr>
                <w:b w:val="0"/>
                <w:bCs w:val="0"/>
                <w:i w:val="0"/>
                <w:iCs w:val="0"/>
                <w:smallCaps w:val="0"/>
                <w:color w:val="000000"/>
              </w:rPr>
            </w:pPr>
            <w:r>
              <w:rPr>
                <w:rFonts w:ascii="宋体" w:hAnsi="宋体" w:eastAsia="宋体" w:cs="宋体"/>
                <w:b w:val="0"/>
                <w:bCs w:val="0"/>
                <w:i w:val="0"/>
                <w:iCs w:val="0"/>
                <w:smallCaps w:val="0"/>
                <w:color w:val="000000"/>
                <w:sz w:val="20"/>
                <w:szCs w:val="20"/>
              </w:rPr>
              <w:t>项目</w:t>
            </w:r>
          </w:p>
        </w:tc>
        <w:tc>
          <w:tcPr>
            <w:tcW w:w="444" w:type="dxa"/>
            <w:vMerge w:val="restart"/>
            <w:tcBorders>
              <w:top w:val="single" w:color="000000" w:sz="8" w:space="0"/>
              <w:bottom w:val="single" w:color="000000" w:sz="8" w:space="0"/>
              <w:right w:val="single" w:color="000000" w:sz="8" w:space="0"/>
            </w:tcBorders>
            <w:noWrap w:val="0"/>
            <w:tcMar>
              <w:top w:w="10" w:type="dxa"/>
              <w:left w:w="113" w:type="dxa"/>
              <w:bottom w:w="10" w:type="dxa"/>
              <w:right w:w="118" w:type="dxa"/>
            </w:tcMar>
            <w:vAlign w:val="center"/>
          </w:tcPr>
          <w:p>
            <w:pPr>
              <w:pStyle w:val="6"/>
              <w:jc w:val="center"/>
              <w:rPr>
                <w:b w:val="0"/>
                <w:bCs w:val="0"/>
                <w:i w:val="0"/>
                <w:iCs w:val="0"/>
                <w:smallCaps w:val="0"/>
                <w:color w:val="000000"/>
              </w:rPr>
            </w:pPr>
            <w:r>
              <w:rPr>
                <w:rFonts w:ascii="宋体" w:hAnsi="宋体" w:eastAsia="宋体" w:cs="宋体"/>
                <w:b w:val="0"/>
                <w:bCs w:val="0"/>
                <w:i w:val="0"/>
                <w:iCs w:val="0"/>
                <w:smallCaps w:val="0"/>
                <w:color w:val="000000"/>
                <w:sz w:val="20"/>
                <w:szCs w:val="20"/>
              </w:rPr>
              <w:t>行次</w:t>
            </w:r>
          </w:p>
        </w:tc>
        <w:tc>
          <w:tcPr>
            <w:tcW w:w="924" w:type="dxa"/>
            <w:vMerge w:val="restart"/>
            <w:tcBorders>
              <w:top w:val="single" w:color="000000" w:sz="8" w:space="0"/>
              <w:bottom w:val="single" w:color="000000" w:sz="8" w:space="0"/>
              <w:right w:val="single" w:color="000000" w:sz="8" w:space="0"/>
            </w:tcBorders>
            <w:noWrap w:val="0"/>
            <w:tcMar>
              <w:top w:w="10" w:type="dxa"/>
              <w:left w:w="113" w:type="dxa"/>
              <w:bottom w:w="10" w:type="dxa"/>
              <w:right w:w="118" w:type="dxa"/>
            </w:tcMar>
            <w:vAlign w:val="center"/>
          </w:tcPr>
          <w:p>
            <w:pPr>
              <w:pStyle w:val="6"/>
              <w:jc w:val="center"/>
              <w:rPr>
                <w:b w:val="0"/>
                <w:bCs w:val="0"/>
                <w:i w:val="0"/>
                <w:iCs w:val="0"/>
                <w:smallCaps w:val="0"/>
                <w:color w:val="000000"/>
              </w:rPr>
            </w:pPr>
            <w:r>
              <w:rPr>
                <w:rFonts w:ascii="宋体" w:hAnsi="宋体" w:eastAsia="宋体" w:cs="宋体"/>
                <w:b w:val="0"/>
                <w:bCs w:val="0"/>
                <w:i w:val="0"/>
                <w:iCs w:val="0"/>
                <w:smallCaps w:val="0"/>
                <w:color w:val="000000"/>
                <w:sz w:val="20"/>
                <w:szCs w:val="20"/>
              </w:rPr>
              <w:t>资产总额</w:t>
            </w:r>
          </w:p>
        </w:tc>
        <w:tc>
          <w:tcPr>
            <w:tcW w:w="960" w:type="dxa"/>
            <w:vMerge w:val="restart"/>
            <w:tcBorders>
              <w:top w:val="single" w:color="000000" w:sz="8" w:space="0"/>
              <w:bottom w:val="single" w:color="000000" w:sz="8" w:space="0"/>
              <w:right w:val="single" w:color="000000" w:sz="8" w:space="0"/>
            </w:tcBorders>
            <w:noWrap w:val="0"/>
            <w:tcMar>
              <w:top w:w="10" w:type="dxa"/>
              <w:left w:w="113" w:type="dxa"/>
              <w:bottom w:w="10" w:type="dxa"/>
              <w:right w:w="118" w:type="dxa"/>
            </w:tcMar>
            <w:vAlign w:val="center"/>
          </w:tcPr>
          <w:p>
            <w:pPr>
              <w:pStyle w:val="6"/>
              <w:jc w:val="center"/>
              <w:rPr>
                <w:b w:val="0"/>
                <w:bCs w:val="0"/>
                <w:i w:val="0"/>
                <w:iCs w:val="0"/>
                <w:smallCaps w:val="0"/>
                <w:color w:val="000000"/>
              </w:rPr>
            </w:pPr>
            <w:r>
              <w:rPr>
                <w:rFonts w:ascii="宋体" w:hAnsi="宋体" w:eastAsia="宋体" w:cs="宋体"/>
                <w:b w:val="0"/>
                <w:bCs w:val="0"/>
                <w:i w:val="0"/>
                <w:iCs w:val="0"/>
                <w:smallCaps w:val="0"/>
                <w:color w:val="000000"/>
                <w:sz w:val="20"/>
                <w:szCs w:val="20"/>
              </w:rPr>
              <w:t>流动资产</w:t>
            </w:r>
          </w:p>
        </w:tc>
        <w:tc>
          <w:tcPr>
            <w:tcW w:w="4440" w:type="dxa"/>
            <w:gridSpan w:val="5"/>
            <w:tcBorders>
              <w:top w:val="single" w:color="000000" w:sz="8" w:space="0"/>
              <w:bottom w:val="single" w:color="000000" w:sz="8" w:space="0"/>
              <w:right w:val="single" w:color="000000" w:sz="8" w:space="0"/>
            </w:tcBorders>
            <w:noWrap w:val="0"/>
            <w:tcMar>
              <w:top w:w="10" w:type="dxa"/>
              <w:left w:w="113" w:type="dxa"/>
              <w:bottom w:w="10" w:type="dxa"/>
              <w:right w:w="118" w:type="dxa"/>
            </w:tcMar>
            <w:vAlign w:val="center"/>
          </w:tcPr>
          <w:p>
            <w:pPr>
              <w:pStyle w:val="6"/>
              <w:jc w:val="center"/>
              <w:rPr>
                <w:b w:val="0"/>
                <w:bCs w:val="0"/>
                <w:i w:val="0"/>
                <w:iCs w:val="0"/>
                <w:smallCaps w:val="0"/>
                <w:color w:val="000000"/>
              </w:rPr>
            </w:pPr>
            <w:r>
              <w:rPr>
                <w:rFonts w:ascii="宋体" w:hAnsi="宋体" w:eastAsia="宋体" w:cs="宋体"/>
                <w:b w:val="0"/>
                <w:bCs w:val="0"/>
                <w:i w:val="0"/>
                <w:iCs w:val="0"/>
                <w:smallCaps w:val="0"/>
                <w:color w:val="000000"/>
                <w:sz w:val="20"/>
                <w:szCs w:val="20"/>
              </w:rPr>
              <w:t>固定资产</w:t>
            </w:r>
          </w:p>
        </w:tc>
        <w:tc>
          <w:tcPr>
            <w:tcW w:w="696" w:type="dxa"/>
            <w:vMerge w:val="restart"/>
            <w:tcBorders>
              <w:bottom w:val="single" w:color="000000" w:sz="8" w:space="0"/>
              <w:right w:val="single" w:color="000000" w:sz="8" w:space="0"/>
            </w:tcBorders>
            <w:noWrap w:val="0"/>
            <w:tcMar>
              <w:top w:w="5" w:type="dxa"/>
              <w:left w:w="113" w:type="dxa"/>
              <w:bottom w:w="10" w:type="dxa"/>
              <w:right w:w="118" w:type="dxa"/>
            </w:tcMar>
            <w:vAlign w:val="center"/>
          </w:tcPr>
          <w:p>
            <w:pPr>
              <w:pStyle w:val="6"/>
              <w:jc w:val="center"/>
              <w:rPr>
                <w:b w:val="0"/>
                <w:bCs w:val="0"/>
                <w:i w:val="0"/>
                <w:iCs w:val="0"/>
                <w:smallCaps w:val="0"/>
                <w:color w:val="000000"/>
              </w:rPr>
            </w:pPr>
            <w:r>
              <w:rPr>
                <w:rFonts w:ascii="宋体" w:hAnsi="宋体" w:eastAsia="宋体" w:cs="宋体"/>
                <w:b w:val="0"/>
                <w:bCs w:val="0"/>
                <w:i w:val="0"/>
                <w:iCs w:val="0"/>
                <w:smallCaps w:val="0"/>
                <w:color w:val="000000"/>
                <w:sz w:val="20"/>
                <w:szCs w:val="20"/>
              </w:rPr>
              <w:t>对外投资</w:t>
            </w:r>
            <w:r>
              <w:rPr>
                <w:rFonts w:ascii="宋体" w:hAnsi="宋体" w:eastAsia="宋体" w:cs="宋体"/>
                <w:b w:val="0"/>
                <w:bCs w:val="0"/>
                <w:i w:val="0"/>
                <w:iCs w:val="0"/>
                <w:smallCaps w:val="0"/>
                <w:color w:val="000000"/>
                <w:sz w:val="20"/>
                <w:szCs w:val="20"/>
                <w:lang w:val="en-US" w:eastAsia="en-US"/>
              </w:rPr>
              <w:t>/</w:t>
            </w:r>
            <w:r>
              <w:rPr>
                <w:rFonts w:ascii="宋体" w:hAnsi="宋体" w:eastAsia="宋体" w:cs="宋体"/>
                <w:b w:val="0"/>
                <w:bCs w:val="0"/>
                <w:i w:val="0"/>
                <w:iCs w:val="0"/>
                <w:smallCaps w:val="0"/>
                <w:color w:val="000000"/>
                <w:sz w:val="20"/>
                <w:szCs w:val="20"/>
              </w:rPr>
              <w:t>有价证券</w:t>
            </w:r>
          </w:p>
        </w:tc>
        <w:tc>
          <w:tcPr>
            <w:tcW w:w="972" w:type="dxa"/>
            <w:vMerge w:val="restart"/>
            <w:tcBorders>
              <w:bottom w:val="single" w:color="000000" w:sz="8" w:space="0"/>
              <w:right w:val="single" w:color="000000" w:sz="8" w:space="0"/>
            </w:tcBorders>
            <w:noWrap w:val="0"/>
            <w:tcMar>
              <w:top w:w="5" w:type="dxa"/>
              <w:left w:w="113" w:type="dxa"/>
              <w:bottom w:w="10" w:type="dxa"/>
              <w:right w:w="118" w:type="dxa"/>
            </w:tcMar>
            <w:vAlign w:val="center"/>
          </w:tcPr>
          <w:p>
            <w:pPr>
              <w:pStyle w:val="6"/>
              <w:jc w:val="center"/>
              <w:rPr>
                <w:b w:val="0"/>
                <w:bCs w:val="0"/>
                <w:i w:val="0"/>
                <w:iCs w:val="0"/>
                <w:smallCaps w:val="0"/>
                <w:color w:val="000000"/>
              </w:rPr>
            </w:pPr>
            <w:r>
              <w:rPr>
                <w:rFonts w:ascii="宋体" w:hAnsi="宋体" w:eastAsia="宋体" w:cs="宋体"/>
                <w:b w:val="0"/>
                <w:bCs w:val="0"/>
                <w:i w:val="0"/>
                <w:iCs w:val="0"/>
                <w:smallCaps w:val="0"/>
                <w:color w:val="000000"/>
                <w:sz w:val="20"/>
                <w:szCs w:val="20"/>
              </w:rPr>
              <w:t>在建工程</w:t>
            </w:r>
          </w:p>
        </w:tc>
        <w:tc>
          <w:tcPr>
            <w:tcW w:w="792" w:type="dxa"/>
            <w:vMerge w:val="restart"/>
            <w:tcBorders>
              <w:bottom w:val="single" w:color="000000" w:sz="8" w:space="0"/>
              <w:right w:val="single" w:color="000000" w:sz="8" w:space="0"/>
            </w:tcBorders>
            <w:noWrap w:val="0"/>
            <w:tcMar>
              <w:top w:w="5" w:type="dxa"/>
              <w:left w:w="113" w:type="dxa"/>
              <w:bottom w:w="10" w:type="dxa"/>
              <w:right w:w="118" w:type="dxa"/>
            </w:tcMar>
            <w:vAlign w:val="center"/>
          </w:tcPr>
          <w:p>
            <w:pPr>
              <w:pStyle w:val="6"/>
              <w:jc w:val="center"/>
              <w:rPr>
                <w:b w:val="0"/>
                <w:bCs w:val="0"/>
                <w:i w:val="0"/>
                <w:iCs w:val="0"/>
                <w:smallCaps w:val="0"/>
                <w:color w:val="000000"/>
              </w:rPr>
            </w:pPr>
            <w:r>
              <w:rPr>
                <w:rFonts w:ascii="宋体" w:hAnsi="宋体" w:eastAsia="宋体" w:cs="宋体"/>
                <w:b w:val="0"/>
                <w:bCs w:val="0"/>
                <w:i w:val="0"/>
                <w:iCs w:val="0"/>
                <w:smallCaps w:val="0"/>
                <w:color w:val="000000"/>
                <w:sz w:val="20"/>
                <w:szCs w:val="20"/>
              </w:rPr>
              <w:t>无形资产</w:t>
            </w:r>
          </w:p>
        </w:tc>
        <w:tc>
          <w:tcPr>
            <w:tcW w:w="697" w:type="dxa"/>
            <w:vMerge w:val="restart"/>
            <w:tcBorders>
              <w:bottom w:val="single" w:color="000000" w:sz="8" w:space="0"/>
              <w:right w:val="single" w:color="000000" w:sz="8" w:space="0"/>
            </w:tcBorders>
            <w:noWrap w:val="0"/>
            <w:tcMar>
              <w:top w:w="5" w:type="dxa"/>
              <w:left w:w="113" w:type="dxa"/>
              <w:bottom w:w="10" w:type="dxa"/>
              <w:right w:w="118" w:type="dxa"/>
            </w:tcMar>
            <w:vAlign w:val="center"/>
          </w:tcPr>
          <w:p>
            <w:pPr>
              <w:pStyle w:val="6"/>
              <w:jc w:val="center"/>
              <w:rPr>
                <w:b w:val="0"/>
                <w:bCs w:val="0"/>
                <w:i w:val="0"/>
                <w:iCs w:val="0"/>
                <w:smallCaps w:val="0"/>
                <w:color w:val="000000"/>
              </w:rPr>
            </w:pPr>
            <w:r>
              <w:rPr>
                <w:rFonts w:ascii="宋体" w:hAnsi="宋体" w:eastAsia="宋体" w:cs="宋体"/>
                <w:b w:val="0"/>
                <w:bCs w:val="0"/>
                <w:i w:val="0"/>
                <w:iCs w:val="0"/>
                <w:smallCaps w:val="0"/>
                <w:color w:val="000000"/>
                <w:sz w:val="20"/>
                <w:szCs w:val="20"/>
              </w:rPr>
              <w:t>其他资产</w:t>
            </w:r>
          </w:p>
        </w:tc>
        <w:tc>
          <w:tcPr>
            <w:tcW w:w="156" w:type="dxa"/>
            <w:noWrap w:val="0"/>
            <w:tcMar>
              <w:top w:w="5" w:type="dxa"/>
              <w:left w:w="5" w:type="dxa"/>
              <w:bottom w:w="5" w:type="dxa"/>
              <w:right w:w="5" w:type="dxa"/>
            </w:tcMar>
            <w:vAlign w:val="center"/>
          </w:tcPr>
          <w:p>
            <w:pPr>
              <w:rPr>
                <w:b w:val="0"/>
                <w:bCs w:val="0"/>
                <w:i w:val="0"/>
                <w:iCs w:val="0"/>
                <w:smallCaps w:val="0"/>
                <w:color w:val="000000"/>
              </w:rPr>
            </w:pPr>
            <w:r>
              <w:rPr>
                <w:b w:val="0"/>
                <w:bCs w:val="0"/>
                <w:i w:val="0"/>
                <w:iCs w:val="0"/>
                <w:smallCaps w:val="0"/>
                <w:color w:val="000000"/>
              </w:rPr>
              <w:t> </w:t>
            </w:r>
          </w:p>
        </w:tc>
      </w:tr>
      <w:tr>
        <w:tblPrEx>
          <w:tblCellMar>
            <w:top w:w="0" w:type="dxa"/>
            <w:left w:w="0" w:type="dxa"/>
            <w:bottom w:w="0" w:type="dxa"/>
            <w:right w:w="0" w:type="dxa"/>
          </w:tblCellMar>
        </w:tblPrEx>
        <w:trPr>
          <w:trHeight w:val="270" w:hRule="atLeast"/>
          <w:jc w:val="center"/>
        </w:trPr>
        <w:tc>
          <w:tcPr>
            <w:tcW w:w="637" w:type="dxa"/>
            <w:vMerge w:val="continue"/>
            <w:tcBorders>
              <w:top w:val="single" w:color="000000" w:sz="8" w:space="0"/>
              <w:left w:val="single" w:color="000000" w:sz="8" w:space="0"/>
              <w:bottom w:val="single" w:color="000000" w:sz="8" w:space="0"/>
              <w:right w:val="single" w:color="000000" w:sz="8" w:space="0"/>
            </w:tcBorders>
            <w:noWrap w:val="0"/>
            <w:vAlign w:val="center"/>
          </w:tcPr>
          <w:p>
            <w:pPr>
              <w:rPr>
                <w:b w:val="0"/>
                <w:bCs w:val="0"/>
                <w:i w:val="0"/>
                <w:iCs w:val="0"/>
                <w:smallCaps w:val="0"/>
                <w:color w:val="000000"/>
              </w:rPr>
            </w:pPr>
          </w:p>
        </w:tc>
        <w:tc>
          <w:tcPr>
            <w:tcW w:w="444" w:type="dxa"/>
            <w:vMerge w:val="continue"/>
            <w:tcBorders>
              <w:top w:val="single" w:color="000000" w:sz="8" w:space="0"/>
              <w:bottom w:val="single" w:color="000000" w:sz="8" w:space="0"/>
              <w:right w:val="single" w:color="000000" w:sz="8" w:space="0"/>
            </w:tcBorders>
            <w:noWrap w:val="0"/>
            <w:vAlign w:val="center"/>
          </w:tcPr>
          <w:p>
            <w:pPr>
              <w:rPr>
                <w:b w:val="0"/>
                <w:bCs w:val="0"/>
                <w:i w:val="0"/>
                <w:iCs w:val="0"/>
                <w:smallCaps w:val="0"/>
                <w:color w:val="000000"/>
              </w:rPr>
            </w:pPr>
          </w:p>
        </w:tc>
        <w:tc>
          <w:tcPr>
            <w:tcW w:w="924" w:type="dxa"/>
            <w:vMerge w:val="continue"/>
            <w:tcBorders>
              <w:top w:val="single" w:color="000000" w:sz="8" w:space="0"/>
              <w:bottom w:val="single" w:color="000000" w:sz="8" w:space="0"/>
              <w:right w:val="single" w:color="000000" w:sz="8" w:space="0"/>
            </w:tcBorders>
            <w:noWrap w:val="0"/>
            <w:vAlign w:val="center"/>
          </w:tcPr>
          <w:p>
            <w:pPr>
              <w:rPr>
                <w:b w:val="0"/>
                <w:bCs w:val="0"/>
                <w:i w:val="0"/>
                <w:iCs w:val="0"/>
                <w:smallCaps w:val="0"/>
                <w:color w:val="000000"/>
              </w:rPr>
            </w:pPr>
          </w:p>
        </w:tc>
        <w:tc>
          <w:tcPr>
            <w:tcW w:w="960" w:type="dxa"/>
            <w:vMerge w:val="continue"/>
            <w:tcBorders>
              <w:top w:val="single" w:color="000000" w:sz="8" w:space="0"/>
              <w:bottom w:val="single" w:color="000000" w:sz="8" w:space="0"/>
              <w:right w:val="single" w:color="000000" w:sz="8" w:space="0"/>
            </w:tcBorders>
            <w:noWrap w:val="0"/>
            <w:vAlign w:val="center"/>
          </w:tcPr>
          <w:p>
            <w:pPr>
              <w:rPr>
                <w:b w:val="0"/>
                <w:bCs w:val="0"/>
                <w:i w:val="0"/>
                <w:iCs w:val="0"/>
                <w:smallCaps w:val="0"/>
                <w:color w:val="000000"/>
              </w:rPr>
            </w:pPr>
          </w:p>
        </w:tc>
        <w:tc>
          <w:tcPr>
            <w:tcW w:w="888" w:type="dxa"/>
            <w:vMerge w:val="restart"/>
            <w:tcBorders>
              <w:bottom w:val="single" w:color="000000" w:sz="8" w:space="0"/>
              <w:right w:val="single" w:color="000000" w:sz="8" w:space="0"/>
            </w:tcBorders>
            <w:noWrap w:val="0"/>
            <w:tcMar>
              <w:top w:w="5" w:type="dxa"/>
              <w:left w:w="113" w:type="dxa"/>
              <w:bottom w:w="10" w:type="dxa"/>
              <w:right w:w="118" w:type="dxa"/>
            </w:tcMar>
            <w:vAlign w:val="center"/>
          </w:tcPr>
          <w:p>
            <w:pPr>
              <w:pStyle w:val="6"/>
              <w:jc w:val="center"/>
              <w:rPr>
                <w:b w:val="0"/>
                <w:bCs w:val="0"/>
                <w:i w:val="0"/>
                <w:iCs w:val="0"/>
                <w:smallCaps w:val="0"/>
                <w:color w:val="000000"/>
              </w:rPr>
            </w:pPr>
            <w:r>
              <w:rPr>
                <w:rFonts w:ascii="宋体" w:hAnsi="宋体" w:eastAsia="宋体" w:cs="宋体"/>
                <w:b w:val="0"/>
                <w:bCs w:val="0"/>
                <w:i w:val="0"/>
                <w:iCs w:val="0"/>
                <w:smallCaps w:val="0"/>
                <w:color w:val="000000"/>
                <w:sz w:val="20"/>
                <w:szCs w:val="20"/>
              </w:rPr>
              <w:t>小计</w:t>
            </w:r>
          </w:p>
        </w:tc>
        <w:tc>
          <w:tcPr>
            <w:tcW w:w="996" w:type="dxa"/>
            <w:vMerge w:val="restart"/>
            <w:tcBorders>
              <w:bottom w:val="single" w:color="000000" w:sz="8" w:space="0"/>
              <w:right w:val="single" w:color="000000" w:sz="8" w:space="0"/>
            </w:tcBorders>
            <w:noWrap w:val="0"/>
            <w:tcMar>
              <w:top w:w="5" w:type="dxa"/>
              <w:left w:w="113" w:type="dxa"/>
              <w:bottom w:w="10" w:type="dxa"/>
              <w:right w:w="118" w:type="dxa"/>
            </w:tcMar>
            <w:vAlign w:val="center"/>
          </w:tcPr>
          <w:p>
            <w:pPr>
              <w:pStyle w:val="6"/>
              <w:jc w:val="center"/>
              <w:rPr>
                <w:b w:val="0"/>
                <w:bCs w:val="0"/>
                <w:i w:val="0"/>
                <w:iCs w:val="0"/>
                <w:smallCaps w:val="0"/>
                <w:color w:val="000000"/>
              </w:rPr>
            </w:pPr>
            <w:r>
              <w:rPr>
                <w:rFonts w:ascii="宋体" w:hAnsi="宋体" w:eastAsia="宋体" w:cs="宋体"/>
                <w:b w:val="0"/>
                <w:bCs w:val="0"/>
                <w:i w:val="0"/>
                <w:iCs w:val="0"/>
                <w:smallCaps w:val="0"/>
                <w:color w:val="000000"/>
                <w:sz w:val="20"/>
                <w:szCs w:val="20"/>
              </w:rPr>
              <w:t>房屋构筑物</w:t>
            </w:r>
          </w:p>
        </w:tc>
        <w:tc>
          <w:tcPr>
            <w:tcW w:w="684" w:type="dxa"/>
            <w:vMerge w:val="restart"/>
            <w:tcBorders>
              <w:bottom w:val="single" w:color="000000" w:sz="8" w:space="0"/>
              <w:right w:val="single" w:color="000000" w:sz="8" w:space="0"/>
            </w:tcBorders>
            <w:noWrap w:val="0"/>
            <w:tcMar>
              <w:top w:w="5" w:type="dxa"/>
              <w:left w:w="113" w:type="dxa"/>
              <w:bottom w:w="10" w:type="dxa"/>
              <w:right w:w="118" w:type="dxa"/>
            </w:tcMar>
            <w:vAlign w:val="center"/>
          </w:tcPr>
          <w:p>
            <w:pPr>
              <w:pStyle w:val="6"/>
              <w:jc w:val="center"/>
              <w:rPr>
                <w:b w:val="0"/>
                <w:bCs w:val="0"/>
                <w:i w:val="0"/>
                <w:iCs w:val="0"/>
                <w:smallCaps w:val="0"/>
                <w:color w:val="000000"/>
              </w:rPr>
            </w:pPr>
            <w:r>
              <w:rPr>
                <w:rFonts w:ascii="宋体" w:hAnsi="宋体" w:eastAsia="宋体" w:cs="宋体"/>
                <w:b w:val="0"/>
                <w:bCs w:val="0"/>
                <w:i w:val="0"/>
                <w:iCs w:val="0"/>
                <w:smallCaps w:val="0"/>
                <w:color w:val="000000"/>
                <w:sz w:val="20"/>
                <w:szCs w:val="20"/>
              </w:rPr>
              <w:t>车辆</w:t>
            </w:r>
          </w:p>
        </w:tc>
        <w:tc>
          <w:tcPr>
            <w:tcW w:w="972" w:type="dxa"/>
            <w:vMerge w:val="restart"/>
            <w:tcBorders>
              <w:bottom w:val="single" w:color="000000" w:sz="8" w:space="0"/>
              <w:right w:val="single" w:color="000000" w:sz="8" w:space="0"/>
            </w:tcBorders>
            <w:noWrap w:val="0"/>
            <w:tcMar>
              <w:top w:w="5" w:type="dxa"/>
              <w:left w:w="113" w:type="dxa"/>
              <w:bottom w:w="10" w:type="dxa"/>
              <w:right w:w="118" w:type="dxa"/>
            </w:tcMar>
            <w:vAlign w:val="center"/>
          </w:tcPr>
          <w:p>
            <w:pPr>
              <w:pStyle w:val="6"/>
              <w:jc w:val="center"/>
              <w:rPr>
                <w:b w:val="0"/>
                <w:bCs w:val="0"/>
                <w:i w:val="0"/>
                <w:iCs w:val="0"/>
                <w:smallCaps w:val="0"/>
                <w:color w:val="000000"/>
              </w:rPr>
            </w:pPr>
            <w:r>
              <w:rPr>
                <w:rFonts w:ascii="宋体" w:hAnsi="宋体" w:eastAsia="宋体" w:cs="宋体"/>
                <w:b w:val="0"/>
                <w:bCs w:val="0"/>
                <w:i w:val="0"/>
                <w:iCs w:val="0"/>
                <w:smallCaps w:val="0"/>
                <w:color w:val="000000"/>
                <w:sz w:val="20"/>
                <w:szCs w:val="20"/>
              </w:rPr>
              <w:t>单价</w:t>
            </w:r>
            <w:r>
              <w:rPr>
                <w:rFonts w:ascii="宋体" w:hAnsi="宋体" w:eastAsia="宋体" w:cs="宋体"/>
                <w:b w:val="0"/>
                <w:bCs w:val="0"/>
                <w:i w:val="0"/>
                <w:iCs w:val="0"/>
                <w:smallCaps w:val="0"/>
                <w:color w:val="000000"/>
                <w:sz w:val="20"/>
                <w:szCs w:val="20"/>
                <w:lang w:val="en-US" w:eastAsia="en-US"/>
              </w:rPr>
              <w:t>200</w:t>
            </w:r>
            <w:r>
              <w:rPr>
                <w:rFonts w:ascii="宋体" w:hAnsi="宋体" w:eastAsia="宋体" w:cs="宋体"/>
                <w:b w:val="0"/>
                <w:bCs w:val="0"/>
                <w:i w:val="0"/>
                <w:iCs w:val="0"/>
                <w:smallCaps w:val="0"/>
                <w:color w:val="000000"/>
                <w:sz w:val="20"/>
                <w:szCs w:val="20"/>
              </w:rPr>
              <w:t>万以上大型设备</w:t>
            </w:r>
          </w:p>
        </w:tc>
        <w:tc>
          <w:tcPr>
            <w:tcW w:w="900" w:type="dxa"/>
            <w:vMerge w:val="restart"/>
            <w:tcBorders>
              <w:bottom w:val="single" w:color="000000" w:sz="8" w:space="0"/>
              <w:right w:val="single" w:color="000000" w:sz="8" w:space="0"/>
            </w:tcBorders>
            <w:noWrap w:val="0"/>
            <w:tcMar>
              <w:top w:w="5" w:type="dxa"/>
              <w:left w:w="113" w:type="dxa"/>
              <w:bottom w:w="10" w:type="dxa"/>
              <w:right w:w="118" w:type="dxa"/>
            </w:tcMar>
            <w:vAlign w:val="center"/>
          </w:tcPr>
          <w:p>
            <w:pPr>
              <w:pStyle w:val="6"/>
              <w:jc w:val="center"/>
              <w:rPr>
                <w:b w:val="0"/>
                <w:bCs w:val="0"/>
                <w:i w:val="0"/>
                <w:iCs w:val="0"/>
                <w:smallCaps w:val="0"/>
                <w:color w:val="000000"/>
              </w:rPr>
            </w:pPr>
            <w:r>
              <w:rPr>
                <w:rFonts w:ascii="宋体" w:hAnsi="宋体" w:eastAsia="宋体" w:cs="宋体"/>
                <w:b w:val="0"/>
                <w:bCs w:val="0"/>
                <w:i w:val="0"/>
                <w:iCs w:val="0"/>
                <w:smallCaps w:val="0"/>
                <w:color w:val="000000"/>
                <w:sz w:val="20"/>
                <w:szCs w:val="20"/>
              </w:rPr>
              <w:t>其他固定资产</w:t>
            </w:r>
          </w:p>
        </w:tc>
        <w:tc>
          <w:tcPr>
            <w:tcW w:w="696" w:type="dxa"/>
            <w:vMerge w:val="continue"/>
            <w:tcBorders>
              <w:bottom w:val="single" w:color="000000" w:sz="8" w:space="0"/>
              <w:right w:val="single" w:color="000000" w:sz="8" w:space="0"/>
            </w:tcBorders>
            <w:noWrap w:val="0"/>
            <w:vAlign w:val="center"/>
          </w:tcPr>
          <w:p>
            <w:pPr>
              <w:rPr>
                <w:rFonts w:ascii="宋体" w:hAnsi="宋体" w:eastAsia="宋体" w:cs="宋体"/>
                <w:b w:val="0"/>
                <w:bCs w:val="0"/>
                <w:i w:val="0"/>
                <w:iCs w:val="0"/>
                <w:smallCaps w:val="0"/>
                <w:color w:val="000000"/>
                <w:sz w:val="20"/>
                <w:szCs w:val="20"/>
              </w:rPr>
            </w:pPr>
          </w:p>
        </w:tc>
        <w:tc>
          <w:tcPr>
            <w:tcW w:w="972" w:type="dxa"/>
            <w:vMerge w:val="continue"/>
            <w:tcBorders>
              <w:bottom w:val="single" w:color="000000" w:sz="8" w:space="0"/>
              <w:right w:val="single" w:color="000000" w:sz="8" w:space="0"/>
            </w:tcBorders>
            <w:noWrap w:val="0"/>
            <w:vAlign w:val="center"/>
          </w:tcPr>
          <w:p>
            <w:pPr>
              <w:rPr>
                <w:rFonts w:ascii="宋体" w:hAnsi="宋体" w:eastAsia="宋体" w:cs="宋体"/>
                <w:b w:val="0"/>
                <w:bCs w:val="0"/>
                <w:i w:val="0"/>
                <w:iCs w:val="0"/>
                <w:smallCaps w:val="0"/>
                <w:color w:val="000000"/>
                <w:sz w:val="20"/>
                <w:szCs w:val="20"/>
              </w:rPr>
            </w:pPr>
          </w:p>
        </w:tc>
        <w:tc>
          <w:tcPr>
            <w:tcW w:w="792" w:type="dxa"/>
            <w:vMerge w:val="continue"/>
            <w:tcBorders>
              <w:bottom w:val="single" w:color="000000" w:sz="8" w:space="0"/>
              <w:right w:val="single" w:color="000000" w:sz="8" w:space="0"/>
            </w:tcBorders>
            <w:noWrap w:val="0"/>
            <w:vAlign w:val="center"/>
          </w:tcPr>
          <w:p>
            <w:pPr>
              <w:rPr>
                <w:rFonts w:ascii="宋体" w:hAnsi="宋体" w:eastAsia="宋体" w:cs="宋体"/>
                <w:b w:val="0"/>
                <w:bCs w:val="0"/>
                <w:i w:val="0"/>
                <w:iCs w:val="0"/>
                <w:smallCaps w:val="0"/>
                <w:color w:val="000000"/>
                <w:sz w:val="20"/>
                <w:szCs w:val="20"/>
              </w:rPr>
            </w:pPr>
          </w:p>
        </w:tc>
        <w:tc>
          <w:tcPr>
            <w:tcW w:w="697" w:type="dxa"/>
            <w:vMerge w:val="continue"/>
            <w:tcBorders>
              <w:bottom w:val="single" w:color="000000" w:sz="8" w:space="0"/>
              <w:right w:val="single" w:color="000000" w:sz="8" w:space="0"/>
            </w:tcBorders>
            <w:noWrap w:val="0"/>
            <w:vAlign w:val="center"/>
          </w:tcPr>
          <w:p>
            <w:pPr>
              <w:rPr>
                <w:rFonts w:ascii="宋体" w:hAnsi="宋体" w:eastAsia="宋体" w:cs="宋体"/>
                <w:b w:val="0"/>
                <w:bCs w:val="0"/>
                <w:i w:val="0"/>
                <w:iCs w:val="0"/>
                <w:smallCaps w:val="0"/>
                <w:color w:val="000000"/>
                <w:sz w:val="20"/>
                <w:szCs w:val="20"/>
              </w:rPr>
            </w:pPr>
          </w:p>
        </w:tc>
        <w:tc>
          <w:tcPr>
            <w:tcW w:w="156" w:type="dxa"/>
            <w:noWrap w:val="0"/>
            <w:tcMar>
              <w:top w:w="5" w:type="dxa"/>
              <w:left w:w="5" w:type="dxa"/>
              <w:bottom w:w="5" w:type="dxa"/>
              <w:right w:w="5" w:type="dxa"/>
            </w:tcMar>
            <w:vAlign w:val="center"/>
          </w:tcPr>
          <w:p>
            <w:pPr>
              <w:rPr>
                <w:b w:val="0"/>
                <w:bCs w:val="0"/>
                <w:i w:val="0"/>
                <w:iCs w:val="0"/>
                <w:smallCaps w:val="0"/>
                <w:color w:val="000000"/>
              </w:rPr>
            </w:pPr>
            <w:r>
              <w:rPr>
                <w:b w:val="0"/>
                <w:bCs w:val="0"/>
                <w:i w:val="0"/>
                <w:iCs w:val="0"/>
                <w:smallCaps w:val="0"/>
                <w:color w:val="000000"/>
              </w:rPr>
              <w:t> </w:t>
            </w:r>
          </w:p>
        </w:tc>
      </w:tr>
      <w:tr>
        <w:tblPrEx>
          <w:tblCellMar>
            <w:top w:w="0" w:type="dxa"/>
            <w:left w:w="0" w:type="dxa"/>
            <w:bottom w:w="0" w:type="dxa"/>
            <w:right w:w="0" w:type="dxa"/>
          </w:tblCellMar>
        </w:tblPrEx>
        <w:trPr>
          <w:trHeight w:val="260" w:hRule="atLeast"/>
          <w:jc w:val="center"/>
        </w:trPr>
        <w:tc>
          <w:tcPr>
            <w:tcW w:w="637" w:type="dxa"/>
            <w:vMerge w:val="continue"/>
            <w:tcBorders>
              <w:top w:val="single" w:color="000000" w:sz="8" w:space="0"/>
              <w:left w:val="single" w:color="000000" w:sz="8" w:space="0"/>
              <w:bottom w:val="single" w:color="000000" w:sz="8" w:space="0"/>
              <w:right w:val="single" w:color="000000" w:sz="8" w:space="0"/>
            </w:tcBorders>
            <w:noWrap w:val="0"/>
            <w:vAlign w:val="center"/>
          </w:tcPr>
          <w:p>
            <w:pPr>
              <w:rPr>
                <w:b w:val="0"/>
                <w:bCs w:val="0"/>
                <w:i w:val="0"/>
                <w:iCs w:val="0"/>
                <w:smallCaps w:val="0"/>
                <w:color w:val="000000"/>
              </w:rPr>
            </w:pPr>
          </w:p>
        </w:tc>
        <w:tc>
          <w:tcPr>
            <w:tcW w:w="444" w:type="dxa"/>
            <w:vMerge w:val="continue"/>
            <w:tcBorders>
              <w:top w:val="single" w:color="000000" w:sz="8" w:space="0"/>
              <w:bottom w:val="single" w:color="000000" w:sz="8" w:space="0"/>
              <w:right w:val="single" w:color="000000" w:sz="8" w:space="0"/>
            </w:tcBorders>
            <w:noWrap w:val="0"/>
            <w:vAlign w:val="center"/>
          </w:tcPr>
          <w:p>
            <w:pPr>
              <w:rPr>
                <w:b w:val="0"/>
                <w:bCs w:val="0"/>
                <w:i w:val="0"/>
                <w:iCs w:val="0"/>
                <w:smallCaps w:val="0"/>
                <w:color w:val="000000"/>
              </w:rPr>
            </w:pPr>
          </w:p>
        </w:tc>
        <w:tc>
          <w:tcPr>
            <w:tcW w:w="924" w:type="dxa"/>
            <w:vMerge w:val="continue"/>
            <w:tcBorders>
              <w:top w:val="single" w:color="000000" w:sz="8" w:space="0"/>
              <w:bottom w:val="single" w:color="000000" w:sz="8" w:space="0"/>
              <w:right w:val="single" w:color="000000" w:sz="8" w:space="0"/>
            </w:tcBorders>
            <w:noWrap w:val="0"/>
            <w:vAlign w:val="center"/>
          </w:tcPr>
          <w:p>
            <w:pPr>
              <w:rPr>
                <w:b w:val="0"/>
                <w:bCs w:val="0"/>
                <w:i w:val="0"/>
                <w:iCs w:val="0"/>
                <w:smallCaps w:val="0"/>
                <w:color w:val="000000"/>
              </w:rPr>
            </w:pPr>
          </w:p>
        </w:tc>
        <w:tc>
          <w:tcPr>
            <w:tcW w:w="960" w:type="dxa"/>
            <w:vMerge w:val="continue"/>
            <w:tcBorders>
              <w:top w:val="single" w:color="000000" w:sz="8" w:space="0"/>
              <w:bottom w:val="single" w:color="000000" w:sz="8" w:space="0"/>
              <w:right w:val="single" w:color="000000" w:sz="8" w:space="0"/>
            </w:tcBorders>
            <w:noWrap w:val="0"/>
            <w:vAlign w:val="center"/>
          </w:tcPr>
          <w:p>
            <w:pPr>
              <w:rPr>
                <w:b w:val="0"/>
                <w:bCs w:val="0"/>
                <w:i w:val="0"/>
                <w:iCs w:val="0"/>
                <w:smallCaps w:val="0"/>
                <w:color w:val="000000"/>
              </w:rPr>
            </w:pPr>
          </w:p>
        </w:tc>
        <w:tc>
          <w:tcPr>
            <w:tcW w:w="888" w:type="dxa"/>
            <w:vMerge w:val="continue"/>
            <w:tcBorders>
              <w:bottom w:val="single" w:color="000000" w:sz="8" w:space="0"/>
              <w:right w:val="single" w:color="000000" w:sz="8" w:space="0"/>
            </w:tcBorders>
            <w:noWrap w:val="0"/>
            <w:vAlign w:val="center"/>
          </w:tcPr>
          <w:p>
            <w:pPr>
              <w:rPr>
                <w:b w:val="0"/>
                <w:bCs w:val="0"/>
                <w:i w:val="0"/>
                <w:iCs w:val="0"/>
                <w:smallCaps w:val="0"/>
                <w:color w:val="000000"/>
              </w:rPr>
            </w:pPr>
          </w:p>
        </w:tc>
        <w:tc>
          <w:tcPr>
            <w:tcW w:w="996" w:type="dxa"/>
            <w:vMerge w:val="continue"/>
            <w:tcBorders>
              <w:bottom w:val="single" w:color="000000" w:sz="8" w:space="0"/>
              <w:right w:val="single" w:color="000000" w:sz="8" w:space="0"/>
            </w:tcBorders>
            <w:noWrap w:val="0"/>
            <w:vAlign w:val="center"/>
          </w:tcPr>
          <w:p>
            <w:pPr>
              <w:rPr>
                <w:b w:val="0"/>
                <w:bCs w:val="0"/>
                <w:i w:val="0"/>
                <w:iCs w:val="0"/>
                <w:smallCaps w:val="0"/>
                <w:color w:val="000000"/>
              </w:rPr>
            </w:pPr>
          </w:p>
        </w:tc>
        <w:tc>
          <w:tcPr>
            <w:tcW w:w="684" w:type="dxa"/>
            <w:vMerge w:val="continue"/>
            <w:tcBorders>
              <w:bottom w:val="single" w:color="000000" w:sz="8" w:space="0"/>
              <w:right w:val="single" w:color="000000" w:sz="8" w:space="0"/>
            </w:tcBorders>
            <w:noWrap w:val="0"/>
            <w:vAlign w:val="center"/>
          </w:tcPr>
          <w:p>
            <w:pPr>
              <w:rPr>
                <w:b w:val="0"/>
                <w:bCs w:val="0"/>
                <w:i w:val="0"/>
                <w:iCs w:val="0"/>
                <w:smallCaps w:val="0"/>
                <w:color w:val="000000"/>
              </w:rPr>
            </w:pPr>
          </w:p>
        </w:tc>
        <w:tc>
          <w:tcPr>
            <w:tcW w:w="972" w:type="dxa"/>
            <w:vMerge w:val="continue"/>
            <w:tcBorders>
              <w:bottom w:val="single" w:color="000000" w:sz="8" w:space="0"/>
              <w:right w:val="single" w:color="000000" w:sz="8" w:space="0"/>
            </w:tcBorders>
            <w:noWrap w:val="0"/>
            <w:vAlign w:val="center"/>
          </w:tcPr>
          <w:p>
            <w:pPr>
              <w:rPr>
                <w:b w:val="0"/>
                <w:bCs w:val="0"/>
                <w:i w:val="0"/>
                <w:iCs w:val="0"/>
                <w:smallCaps w:val="0"/>
                <w:color w:val="000000"/>
              </w:rPr>
            </w:pPr>
          </w:p>
        </w:tc>
        <w:tc>
          <w:tcPr>
            <w:tcW w:w="900" w:type="dxa"/>
            <w:vMerge w:val="continue"/>
            <w:tcBorders>
              <w:bottom w:val="single" w:color="000000" w:sz="8" w:space="0"/>
              <w:right w:val="single" w:color="000000" w:sz="8" w:space="0"/>
            </w:tcBorders>
            <w:noWrap w:val="0"/>
            <w:vAlign w:val="center"/>
          </w:tcPr>
          <w:p>
            <w:pPr>
              <w:rPr>
                <w:b w:val="0"/>
                <w:bCs w:val="0"/>
                <w:i w:val="0"/>
                <w:iCs w:val="0"/>
                <w:smallCaps w:val="0"/>
                <w:color w:val="000000"/>
              </w:rPr>
            </w:pPr>
          </w:p>
        </w:tc>
        <w:tc>
          <w:tcPr>
            <w:tcW w:w="696" w:type="dxa"/>
            <w:vMerge w:val="continue"/>
            <w:tcBorders>
              <w:bottom w:val="single" w:color="000000" w:sz="8" w:space="0"/>
              <w:right w:val="single" w:color="000000" w:sz="8" w:space="0"/>
            </w:tcBorders>
            <w:noWrap w:val="0"/>
            <w:vAlign w:val="center"/>
          </w:tcPr>
          <w:p>
            <w:pPr>
              <w:rPr>
                <w:b w:val="0"/>
                <w:bCs w:val="0"/>
                <w:i w:val="0"/>
                <w:iCs w:val="0"/>
                <w:smallCaps w:val="0"/>
                <w:color w:val="000000"/>
              </w:rPr>
            </w:pPr>
          </w:p>
        </w:tc>
        <w:tc>
          <w:tcPr>
            <w:tcW w:w="972" w:type="dxa"/>
            <w:vMerge w:val="continue"/>
            <w:tcBorders>
              <w:bottom w:val="single" w:color="000000" w:sz="8" w:space="0"/>
              <w:right w:val="single" w:color="000000" w:sz="8" w:space="0"/>
            </w:tcBorders>
            <w:noWrap w:val="0"/>
            <w:vAlign w:val="center"/>
          </w:tcPr>
          <w:p>
            <w:pPr>
              <w:rPr>
                <w:b w:val="0"/>
                <w:bCs w:val="0"/>
                <w:i w:val="0"/>
                <w:iCs w:val="0"/>
                <w:smallCaps w:val="0"/>
                <w:color w:val="000000"/>
              </w:rPr>
            </w:pPr>
          </w:p>
        </w:tc>
        <w:tc>
          <w:tcPr>
            <w:tcW w:w="792" w:type="dxa"/>
            <w:vMerge w:val="continue"/>
            <w:tcBorders>
              <w:bottom w:val="single" w:color="000000" w:sz="8" w:space="0"/>
              <w:right w:val="single" w:color="000000" w:sz="8" w:space="0"/>
            </w:tcBorders>
            <w:noWrap w:val="0"/>
            <w:vAlign w:val="center"/>
          </w:tcPr>
          <w:p>
            <w:pPr>
              <w:rPr>
                <w:b w:val="0"/>
                <w:bCs w:val="0"/>
                <w:i w:val="0"/>
                <w:iCs w:val="0"/>
                <w:smallCaps w:val="0"/>
                <w:color w:val="000000"/>
              </w:rPr>
            </w:pPr>
          </w:p>
        </w:tc>
        <w:tc>
          <w:tcPr>
            <w:tcW w:w="697" w:type="dxa"/>
            <w:vMerge w:val="continue"/>
            <w:tcBorders>
              <w:bottom w:val="single" w:color="000000" w:sz="8" w:space="0"/>
              <w:right w:val="single" w:color="000000" w:sz="8" w:space="0"/>
            </w:tcBorders>
            <w:noWrap w:val="0"/>
            <w:vAlign w:val="center"/>
          </w:tcPr>
          <w:p>
            <w:pPr>
              <w:rPr>
                <w:b w:val="0"/>
                <w:bCs w:val="0"/>
                <w:i w:val="0"/>
                <w:iCs w:val="0"/>
                <w:smallCaps w:val="0"/>
                <w:color w:val="000000"/>
              </w:rPr>
            </w:pPr>
          </w:p>
        </w:tc>
        <w:tc>
          <w:tcPr>
            <w:tcW w:w="156" w:type="dxa"/>
            <w:noWrap w:val="0"/>
            <w:tcMar>
              <w:top w:w="5" w:type="dxa"/>
              <w:left w:w="5" w:type="dxa"/>
              <w:bottom w:w="5" w:type="dxa"/>
              <w:right w:w="5" w:type="dxa"/>
            </w:tcMar>
            <w:vAlign w:val="center"/>
          </w:tcPr>
          <w:p>
            <w:pPr>
              <w:rPr>
                <w:b w:val="0"/>
                <w:bCs w:val="0"/>
                <w:i w:val="0"/>
                <w:iCs w:val="0"/>
                <w:smallCaps w:val="0"/>
                <w:color w:val="000000"/>
              </w:rPr>
            </w:pPr>
            <w:r>
              <w:rPr>
                <w:b w:val="0"/>
                <w:bCs w:val="0"/>
                <w:i w:val="0"/>
                <w:iCs w:val="0"/>
                <w:smallCaps w:val="0"/>
                <w:color w:val="000000"/>
              </w:rPr>
              <w:t> </w:t>
            </w:r>
          </w:p>
        </w:tc>
      </w:tr>
      <w:tr>
        <w:tblPrEx>
          <w:tblCellMar>
            <w:top w:w="0" w:type="dxa"/>
            <w:left w:w="0" w:type="dxa"/>
            <w:bottom w:w="0" w:type="dxa"/>
            <w:right w:w="0" w:type="dxa"/>
          </w:tblCellMar>
        </w:tblPrEx>
        <w:trPr>
          <w:trHeight w:val="300" w:hRule="atLeast"/>
          <w:jc w:val="center"/>
        </w:trPr>
        <w:tc>
          <w:tcPr>
            <w:tcW w:w="637" w:type="dxa"/>
            <w:tcBorders>
              <w:left w:val="single" w:color="000000" w:sz="8" w:space="0"/>
              <w:bottom w:val="single" w:color="000000" w:sz="8" w:space="0"/>
              <w:right w:val="single" w:color="000000" w:sz="8" w:space="0"/>
            </w:tcBorders>
            <w:noWrap w:val="0"/>
            <w:tcMar>
              <w:top w:w="5" w:type="dxa"/>
              <w:left w:w="118" w:type="dxa"/>
              <w:bottom w:w="10" w:type="dxa"/>
              <w:right w:w="118" w:type="dxa"/>
            </w:tcMar>
            <w:vAlign w:val="center"/>
          </w:tcPr>
          <w:p>
            <w:pPr>
              <w:pStyle w:val="6"/>
              <w:jc w:val="center"/>
              <w:rPr>
                <w:b w:val="0"/>
                <w:bCs w:val="0"/>
                <w:i w:val="0"/>
                <w:iCs w:val="0"/>
                <w:smallCaps w:val="0"/>
                <w:color w:val="000000"/>
              </w:rPr>
            </w:pPr>
            <w:r>
              <w:rPr>
                <w:rFonts w:ascii="宋体" w:hAnsi="宋体" w:eastAsia="宋体" w:cs="宋体"/>
                <w:b w:val="0"/>
                <w:bCs w:val="0"/>
                <w:i w:val="0"/>
                <w:iCs w:val="0"/>
                <w:smallCaps w:val="0"/>
                <w:color w:val="000000"/>
                <w:sz w:val="20"/>
                <w:szCs w:val="20"/>
              </w:rPr>
              <w:t>栏次</w:t>
            </w:r>
          </w:p>
        </w:tc>
        <w:tc>
          <w:tcPr>
            <w:tcW w:w="444" w:type="dxa"/>
            <w:tcBorders>
              <w:bottom w:val="single" w:color="000000" w:sz="8" w:space="0"/>
              <w:right w:val="single" w:color="000000" w:sz="8" w:space="0"/>
            </w:tcBorders>
            <w:noWrap w:val="0"/>
            <w:tcMar>
              <w:top w:w="5" w:type="dxa"/>
              <w:left w:w="113" w:type="dxa"/>
              <w:bottom w:w="10" w:type="dxa"/>
              <w:right w:w="118" w:type="dxa"/>
            </w:tcMar>
            <w:vAlign w:val="center"/>
          </w:tcPr>
          <w:p>
            <w:pPr>
              <w:pStyle w:val="6"/>
              <w:jc w:val="left"/>
              <w:rPr>
                <w:b w:val="0"/>
                <w:bCs w:val="0"/>
                <w:i w:val="0"/>
                <w:iCs w:val="0"/>
                <w:smallCaps w:val="0"/>
                <w:color w:val="000000"/>
              </w:rPr>
            </w:pPr>
            <w:r>
              <w:rPr>
                <w:rFonts w:ascii="宋体" w:hAnsi="宋体" w:eastAsia="宋体" w:cs="宋体"/>
                <w:b w:val="0"/>
                <w:bCs w:val="0"/>
                <w:i w:val="0"/>
                <w:iCs w:val="0"/>
                <w:smallCaps w:val="0"/>
                <w:color w:val="000000"/>
                <w:sz w:val="20"/>
                <w:szCs w:val="20"/>
                <w:lang w:val="en-US" w:eastAsia="en-US"/>
              </w:rPr>
              <w:t> </w:t>
            </w:r>
          </w:p>
        </w:tc>
        <w:tc>
          <w:tcPr>
            <w:tcW w:w="924" w:type="dxa"/>
            <w:tcBorders>
              <w:bottom w:val="single" w:color="000000" w:sz="8" w:space="0"/>
              <w:right w:val="single" w:color="000000" w:sz="8" w:space="0"/>
            </w:tcBorders>
            <w:noWrap w:val="0"/>
            <w:tcMar>
              <w:top w:w="5" w:type="dxa"/>
              <w:left w:w="113" w:type="dxa"/>
              <w:bottom w:w="10" w:type="dxa"/>
              <w:right w:w="118" w:type="dxa"/>
            </w:tcMar>
            <w:vAlign w:val="center"/>
          </w:tcPr>
          <w:p>
            <w:pPr>
              <w:pStyle w:val="6"/>
              <w:jc w:val="center"/>
              <w:rPr>
                <w:b w:val="0"/>
                <w:bCs w:val="0"/>
                <w:i w:val="0"/>
                <w:iCs w:val="0"/>
                <w:smallCaps w:val="0"/>
                <w:color w:val="000000"/>
              </w:rPr>
            </w:pPr>
            <w:r>
              <w:rPr>
                <w:rFonts w:ascii="宋体" w:hAnsi="宋体" w:eastAsia="宋体" w:cs="宋体"/>
                <w:b w:val="0"/>
                <w:bCs w:val="0"/>
                <w:i w:val="0"/>
                <w:iCs w:val="0"/>
                <w:smallCaps w:val="0"/>
                <w:color w:val="000000"/>
                <w:sz w:val="20"/>
                <w:szCs w:val="20"/>
                <w:lang w:val="en-US" w:eastAsia="en-US"/>
              </w:rPr>
              <w:t>1</w:t>
            </w:r>
          </w:p>
        </w:tc>
        <w:tc>
          <w:tcPr>
            <w:tcW w:w="960" w:type="dxa"/>
            <w:tcBorders>
              <w:bottom w:val="single" w:color="000000" w:sz="8" w:space="0"/>
              <w:right w:val="single" w:color="000000" w:sz="8" w:space="0"/>
            </w:tcBorders>
            <w:noWrap w:val="0"/>
            <w:tcMar>
              <w:top w:w="5" w:type="dxa"/>
              <w:left w:w="113" w:type="dxa"/>
              <w:bottom w:w="10" w:type="dxa"/>
              <w:right w:w="118" w:type="dxa"/>
            </w:tcMar>
            <w:vAlign w:val="center"/>
          </w:tcPr>
          <w:p>
            <w:pPr>
              <w:pStyle w:val="6"/>
              <w:jc w:val="center"/>
              <w:rPr>
                <w:b w:val="0"/>
                <w:bCs w:val="0"/>
                <w:i w:val="0"/>
                <w:iCs w:val="0"/>
                <w:smallCaps w:val="0"/>
                <w:color w:val="000000"/>
              </w:rPr>
            </w:pPr>
            <w:r>
              <w:rPr>
                <w:rFonts w:ascii="宋体" w:hAnsi="宋体" w:eastAsia="宋体" w:cs="宋体"/>
                <w:b w:val="0"/>
                <w:bCs w:val="0"/>
                <w:i w:val="0"/>
                <w:iCs w:val="0"/>
                <w:smallCaps w:val="0"/>
                <w:color w:val="000000"/>
                <w:sz w:val="20"/>
                <w:szCs w:val="20"/>
                <w:lang w:val="en-US" w:eastAsia="en-US"/>
              </w:rPr>
              <w:t>2</w:t>
            </w:r>
          </w:p>
        </w:tc>
        <w:tc>
          <w:tcPr>
            <w:tcW w:w="888" w:type="dxa"/>
            <w:tcBorders>
              <w:bottom w:val="single" w:color="000000" w:sz="8" w:space="0"/>
              <w:right w:val="single" w:color="000000" w:sz="8" w:space="0"/>
            </w:tcBorders>
            <w:noWrap w:val="0"/>
            <w:tcMar>
              <w:top w:w="5" w:type="dxa"/>
              <w:left w:w="113" w:type="dxa"/>
              <w:bottom w:w="10" w:type="dxa"/>
              <w:right w:w="118" w:type="dxa"/>
            </w:tcMar>
            <w:vAlign w:val="center"/>
          </w:tcPr>
          <w:p>
            <w:pPr>
              <w:pStyle w:val="6"/>
              <w:jc w:val="center"/>
              <w:rPr>
                <w:b w:val="0"/>
                <w:bCs w:val="0"/>
                <w:i w:val="0"/>
                <w:iCs w:val="0"/>
                <w:smallCaps w:val="0"/>
                <w:color w:val="000000"/>
              </w:rPr>
            </w:pPr>
            <w:r>
              <w:rPr>
                <w:rFonts w:ascii="宋体" w:hAnsi="宋体" w:eastAsia="宋体" w:cs="宋体"/>
                <w:b w:val="0"/>
                <w:bCs w:val="0"/>
                <w:i w:val="0"/>
                <w:iCs w:val="0"/>
                <w:smallCaps w:val="0"/>
                <w:color w:val="000000"/>
                <w:sz w:val="20"/>
                <w:szCs w:val="20"/>
                <w:lang w:val="en-US" w:eastAsia="en-US"/>
              </w:rPr>
              <w:t>3</w:t>
            </w:r>
          </w:p>
        </w:tc>
        <w:tc>
          <w:tcPr>
            <w:tcW w:w="996" w:type="dxa"/>
            <w:tcBorders>
              <w:bottom w:val="single" w:color="000000" w:sz="8" w:space="0"/>
              <w:right w:val="single" w:color="000000" w:sz="8" w:space="0"/>
            </w:tcBorders>
            <w:noWrap w:val="0"/>
            <w:tcMar>
              <w:top w:w="5" w:type="dxa"/>
              <w:left w:w="113" w:type="dxa"/>
              <w:bottom w:w="10" w:type="dxa"/>
              <w:right w:w="118" w:type="dxa"/>
            </w:tcMar>
            <w:vAlign w:val="center"/>
          </w:tcPr>
          <w:p>
            <w:pPr>
              <w:pStyle w:val="6"/>
              <w:jc w:val="center"/>
              <w:rPr>
                <w:b w:val="0"/>
                <w:bCs w:val="0"/>
                <w:i w:val="0"/>
                <w:iCs w:val="0"/>
                <w:smallCaps w:val="0"/>
                <w:color w:val="000000"/>
              </w:rPr>
            </w:pPr>
            <w:r>
              <w:rPr>
                <w:rFonts w:ascii="宋体" w:hAnsi="宋体" w:eastAsia="宋体" w:cs="宋体"/>
                <w:b w:val="0"/>
                <w:bCs w:val="0"/>
                <w:i w:val="0"/>
                <w:iCs w:val="0"/>
                <w:smallCaps w:val="0"/>
                <w:color w:val="000000"/>
                <w:sz w:val="20"/>
                <w:szCs w:val="20"/>
                <w:lang w:val="en-US" w:eastAsia="en-US"/>
              </w:rPr>
              <w:t>4</w:t>
            </w:r>
          </w:p>
        </w:tc>
        <w:tc>
          <w:tcPr>
            <w:tcW w:w="684" w:type="dxa"/>
            <w:tcBorders>
              <w:bottom w:val="single" w:color="000000" w:sz="8" w:space="0"/>
              <w:right w:val="single" w:color="000000" w:sz="8" w:space="0"/>
            </w:tcBorders>
            <w:noWrap w:val="0"/>
            <w:tcMar>
              <w:top w:w="5" w:type="dxa"/>
              <w:left w:w="113" w:type="dxa"/>
              <w:bottom w:w="10" w:type="dxa"/>
              <w:right w:w="118" w:type="dxa"/>
            </w:tcMar>
            <w:vAlign w:val="center"/>
          </w:tcPr>
          <w:p>
            <w:pPr>
              <w:pStyle w:val="6"/>
              <w:jc w:val="center"/>
              <w:rPr>
                <w:b w:val="0"/>
                <w:bCs w:val="0"/>
                <w:i w:val="0"/>
                <w:iCs w:val="0"/>
                <w:smallCaps w:val="0"/>
                <w:color w:val="000000"/>
              </w:rPr>
            </w:pPr>
            <w:r>
              <w:rPr>
                <w:rFonts w:ascii="宋体" w:hAnsi="宋体" w:eastAsia="宋体" w:cs="宋体"/>
                <w:b w:val="0"/>
                <w:bCs w:val="0"/>
                <w:i w:val="0"/>
                <w:iCs w:val="0"/>
                <w:smallCaps w:val="0"/>
                <w:color w:val="000000"/>
                <w:sz w:val="20"/>
                <w:szCs w:val="20"/>
                <w:lang w:val="en-US" w:eastAsia="en-US"/>
              </w:rPr>
              <w:t>5</w:t>
            </w:r>
          </w:p>
        </w:tc>
        <w:tc>
          <w:tcPr>
            <w:tcW w:w="972" w:type="dxa"/>
            <w:tcBorders>
              <w:bottom w:val="single" w:color="000000" w:sz="8" w:space="0"/>
              <w:right w:val="single" w:color="000000" w:sz="8" w:space="0"/>
            </w:tcBorders>
            <w:noWrap w:val="0"/>
            <w:tcMar>
              <w:top w:w="5" w:type="dxa"/>
              <w:left w:w="113" w:type="dxa"/>
              <w:bottom w:w="10" w:type="dxa"/>
              <w:right w:w="118" w:type="dxa"/>
            </w:tcMar>
            <w:vAlign w:val="center"/>
          </w:tcPr>
          <w:p>
            <w:pPr>
              <w:pStyle w:val="6"/>
              <w:jc w:val="center"/>
              <w:rPr>
                <w:b w:val="0"/>
                <w:bCs w:val="0"/>
                <w:i w:val="0"/>
                <w:iCs w:val="0"/>
                <w:smallCaps w:val="0"/>
                <w:color w:val="000000"/>
              </w:rPr>
            </w:pPr>
            <w:r>
              <w:rPr>
                <w:rFonts w:ascii="宋体" w:hAnsi="宋体" w:eastAsia="宋体" w:cs="宋体"/>
                <w:b w:val="0"/>
                <w:bCs w:val="0"/>
                <w:i w:val="0"/>
                <w:iCs w:val="0"/>
                <w:smallCaps w:val="0"/>
                <w:color w:val="000000"/>
                <w:sz w:val="20"/>
                <w:szCs w:val="20"/>
                <w:lang w:val="en-US" w:eastAsia="en-US"/>
              </w:rPr>
              <w:t>6</w:t>
            </w:r>
          </w:p>
        </w:tc>
        <w:tc>
          <w:tcPr>
            <w:tcW w:w="900" w:type="dxa"/>
            <w:tcBorders>
              <w:bottom w:val="single" w:color="000000" w:sz="8" w:space="0"/>
              <w:right w:val="single" w:color="000000" w:sz="8" w:space="0"/>
            </w:tcBorders>
            <w:noWrap w:val="0"/>
            <w:tcMar>
              <w:top w:w="5" w:type="dxa"/>
              <w:left w:w="113" w:type="dxa"/>
              <w:bottom w:w="10" w:type="dxa"/>
              <w:right w:w="118" w:type="dxa"/>
            </w:tcMar>
            <w:vAlign w:val="center"/>
          </w:tcPr>
          <w:p>
            <w:pPr>
              <w:pStyle w:val="6"/>
              <w:jc w:val="center"/>
              <w:rPr>
                <w:b w:val="0"/>
                <w:bCs w:val="0"/>
                <w:i w:val="0"/>
                <w:iCs w:val="0"/>
                <w:smallCaps w:val="0"/>
                <w:color w:val="000000"/>
              </w:rPr>
            </w:pPr>
            <w:r>
              <w:rPr>
                <w:rFonts w:ascii="宋体" w:hAnsi="宋体" w:eastAsia="宋体" w:cs="宋体"/>
                <w:b w:val="0"/>
                <w:bCs w:val="0"/>
                <w:i w:val="0"/>
                <w:iCs w:val="0"/>
                <w:smallCaps w:val="0"/>
                <w:color w:val="000000"/>
                <w:sz w:val="20"/>
                <w:szCs w:val="20"/>
                <w:lang w:val="en-US" w:eastAsia="en-US"/>
              </w:rPr>
              <w:t>7</w:t>
            </w:r>
          </w:p>
        </w:tc>
        <w:tc>
          <w:tcPr>
            <w:tcW w:w="696" w:type="dxa"/>
            <w:tcBorders>
              <w:bottom w:val="single" w:color="000000" w:sz="8" w:space="0"/>
              <w:right w:val="single" w:color="000000" w:sz="8" w:space="0"/>
            </w:tcBorders>
            <w:noWrap w:val="0"/>
            <w:tcMar>
              <w:top w:w="5" w:type="dxa"/>
              <w:left w:w="113" w:type="dxa"/>
              <w:bottom w:w="10" w:type="dxa"/>
              <w:right w:w="118" w:type="dxa"/>
            </w:tcMar>
            <w:vAlign w:val="center"/>
          </w:tcPr>
          <w:p>
            <w:pPr>
              <w:pStyle w:val="6"/>
              <w:jc w:val="center"/>
              <w:rPr>
                <w:b w:val="0"/>
                <w:bCs w:val="0"/>
                <w:i w:val="0"/>
                <w:iCs w:val="0"/>
                <w:smallCaps w:val="0"/>
                <w:color w:val="000000"/>
              </w:rPr>
            </w:pPr>
            <w:r>
              <w:rPr>
                <w:rFonts w:ascii="宋体" w:hAnsi="宋体" w:eastAsia="宋体" w:cs="宋体"/>
                <w:b w:val="0"/>
                <w:bCs w:val="0"/>
                <w:i w:val="0"/>
                <w:iCs w:val="0"/>
                <w:smallCaps w:val="0"/>
                <w:color w:val="000000"/>
                <w:sz w:val="20"/>
                <w:szCs w:val="20"/>
                <w:lang w:val="en-US" w:eastAsia="en-US"/>
              </w:rPr>
              <w:t>8</w:t>
            </w:r>
          </w:p>
        </w:tc>
        <w:tc>
          <w:tcPr>
            <w:tcW w:w="972" w:type="dxa"/>
            <w:tcBorders>
              <w:bottom w:val="single" w:color="000000" w:sz="8" w:space="0"/>
              <w:right w:val="single" w:color="000000" w:sz="8" w:space="0"/>
            </w:tcBorders>
            <w:noWrap w:val="0"/>
            <w:tcMar>
              <w:top w:w="5" w:type="dxa"/>
              <w:left w:w="113" w:type="dxa"/>
              <w:bottom w:w="10" w:type="dxa"/>
              <w:right w:w="118" w:type="dxa"/>
            </w:tcMar>
            <w:vAlign w:val="center"/>
          </w:tcPr>
          <w:p>
            <w:pPr>
              <w:pStyle w:val="6"/>
              <w:jc w:val="center"/>
              <w:rPr>
                <w:b w:val="0"/>
                <w:bCs w:val="0"/>
                <w:i w:val="0"/>
                <w:iCs w:val="0"/>
                <w:smallCaps w:val="0"/>
                <w:color w:val="000000"/>
              </w:rPr>
            </w:pPr>
            <w:r>
              <w:rPr>
                <w:rFonts w:ascii="宋体" w:hAnsi="宋体" w:eastAsia="宋体" w:cs="宋体"/>
                <w:b w:val="0"/>
                <w:bCs w:val="0"/>
                <w:i w:val="0"/>
                <w:iCs w:val="0"/>
                <w:smallCaps w:val="0"/>
                <w:color w:val="000000"/>
                <w:sz w:val="20"/>
                <w:szCs w:val="20"/>
                <w:lang w:val="en-US" w:eastAsia="en-US"/>
              </w:rPr>
              <w:t>9</w:t>
            </w:r>
          </w:p>
        </w:tc>
        <w:tc>
          <w:tcPr>
            <w:tcW w:w="792" w:type="dxa"/>
            <w:tcBorders>
              <w:bottom w:val="single" w:color="000000" w:sz="8" w:space="0"/>
              <w:right w:val="single" w:color="000000" w:sz="8" w:space="0"/>
            </w:tcBorders>
            <w:noWrap w:val="0"/>
            <w:tcMar>
              <w:top w:w="5" w:type="dxa"/>
              <w:left w:w="113" w:type="dxa"/>
              <w:bottom w:w="10" w:type="dxa"/>
              <w:right w:w="118" w:type="dxa"/>
            </w:tcMar>
            <w:vAlign w:val="center"/>
          </w:tcPr>
          <w:p>
            <w:pPr>
              <w:pStyle w:val="6"/>
              <w:jc w:val="center"/>
              <w:rPr>
                <w:b w:val="0"/>
                <w:bCs w:val="0"/>
                <w:i w:val="0"/>
                <w:iCs w:val="0"/>
                <w:smallCaps w:val="0"/>
                <w:color w:val="000000"/>
              </w:rPr>
            </w:pPr>
            <w:r>
              <w:rPr>
                <w:rFonts w:ascii="宋体" w:hAnsi="宋体" w:eastAsia="宋体" w:cs="宋体"/>
                <w:b w:val="0"/>
                <w:bCs w:val="0"/>
                <w:i w:val="0"/>
                <w:iCs w:val="0"/>
                <w:smallCaps w:val="0"/>
                <w:color w:val="000000"/>
                <w:sz w:val="20"/>
                <w:szCs w:val="20"/>
                <w:lang w:val="en-US" w:eastAsia="en-US"/>
              </w:rPr>
              <w:t>10</w:t>
            </w:r>
          </w:p>
        </w:tc>
        <w:tc>
          <w:tcPr>
            <w:tcW w:w="697" w:type="dxa"/>
            <w:tcBorders>
              <w:bottom w:val="single" w:color="000000" w:sz="8" w:space="0"/>
              <w:right w:val="single" w:color="000000" w:sz="8" w:space="0"/>
            </w:tcBorders>
            <w:noWrap w:val="0"/>
            <w:tcMar>
              <w:top w:w="5" w:type="dxa"/>
              <w:left w:w="113" w:type="dxa"/>
              <w:bottom w:w="10" w:type="dxa"/>
              <w:right w:w="118" w:type="dxa"/>
            </w:tcMar>
            <w:vAlign w:val="center"/>
          </w:tcPr>
          <w:p>
            <w:pPr>
              <w:pStyle w:val="6"/>
              <w:jc w:val="center"/>
              <w:rPr>
                <w:b w:val="0"/>
                <w:bCs w:val="0"/>
                <w:i w:val="0"/>
                <w:iCs w:val="0"/>
                <w:smallCaps w:val="0"/>
                <w:color w:val="000000"/>
              </w:rPr>
            </w:pPr>
            <w:r>
              <w:rPr>
                <w:rFonts w:ascii="宋体" w:hAnsi="宋体" w:eastAsia="宋体" w:cs="宋体"/>
                <w:b w:val="0"/>
                <w:bCs w:val="0"/>
                <w:i w:val="0"/>
                <w:iCs w:val="0"/>
                <w:smallCaps w:val="0"/>
                <w:color w:val="000000"/>
                <w:sz w:val="20"/>
                <w:szCs w:val="20"/>
                <w:lang w:val="en-US" w:eastAsia="en-US"/>
              </w:rPr>
              <w:t>11</w:t>
            </w:r>
          </w:p>
        </w:tc>
        <w:tc>
          <w:tcPr>
            <w:tcW w:w="156" w:type="dxa"/>
            <w:noWrap w:val="0"/>
            <w:tcMar>
              <w:top w:w="5" w:type="dxa"/>
              <w:left w:w="5" w:type="dxa"/>
              <w:bottom w:w="5" w:type="dxa"/>
              <w:right w:w="5" w:type="dxa"/>
            </w:tcMar>
            <w:vAlign w:val="center"/>
          </w:tcPr>
          <w:p>
            <w:pPr>
              <w:rPr>
                <w:b w:val="0"/>
                <w:bCs w:val="0"/>
                <w:i w:val="0"/>
                <w:iCs w:val="0"/>
                <w:smallCaps w:val="0"/>
                <w:color w:val="000000"/>
              </w:rPr>
            </w:pPr>
            <w:r>
              <w:rPr>
                <w:b w:val="0"/>
                <w:bCs w:val="0"/>
                <w:i w:val="0"/>
                <w:iCs w:val="0"/>
                <w:smallCaps w:val="0"/>
                <w:color w:val="000000"/>
              </w:rPr>
              <w:t> </w:t>
            </w:r>
          </w:p>
        </w:tc>
      </w:tr>
      <w:tr>
        <w:tblPrEx>
          <w:tblCellMar>
            <w:top w:w="0" w:type="dxa"/>
            <w:left w:w="0" w:type="dxa"/>
            <w:bottom w:w="0" w:type="dxa"/>
            <w:right w:w="0" w:type="dxa"/>
          </w:tblCellMar>
        </w:tblPrEx>
        <w:trPr>
          <w:trHeight w:val="300" w:hRule="atLeast"/>
          <w:jc w:val="center"/>
        </w:trPr>
        <w:tc>
          <w:tcPr>
            <w:tcW w:w="637" w:type="dxa"/>
            <w:tcBorders>
              <w:left w:val="single" w:color="000000" w:sz="8" w:space="0"/>
              <w:bottom w:val="single" w:color="000000" w:sz="8" w:space="0"/>
              <w:right w:val="single" w:color="000000" w:sz="8" w:space="0"/>
            </w:tcBorders>
            <w:noWrap w:val="0"/>
            <w:tcMar>
              <w:top w:w="5" w:type="dxa"/>
              <w:left w:w="118" w:type="dxa"/>
              <w:bottom w:w="10" w:type="dxa"/>
              <w:right w:w="118" w:type="dxa"/>
            </w:tcMar>
            <w:vAlign w:val="center"/>
          </w:tcPr>
          <w:p>
            <w:pPr>
              <w:pStyle w:val="6"/>
              <w:jc w:val="center"/>
              <w:rPr>
                <w:b w:val="0"/>
                <w:bCs w:val="0"/>
                <w:i w:val="0"/>
                <w:iCs w:val="0"/>
                <w:smallCaps w:val="0"/>
                <w:color w:val="000000"/>
              </w:rPr>
            </w:pPr>
            <w:r>
              <w:rPr>
                <w:rFonts w:ascii="宋体" w:hAnsi="宋体" w:eastAsia="宋体" w:cs="宋体"/>
                <w:b w:val="0"/>
                <w:bCs w:val="0"/>
                <w:i w:val="0"/>
                <w:iCs w:val="0"/>
                <w:smallCaps w:val="0"/>
                <w:color w:val="000000"/>
                <w:sz w:val="20"/>
                <w:szCs w:val="20"/>
              </w:rPr>
              <w:t>合计</w:t>
            </w:r>
          </w:p>
        </w:tc>
        <w:tc>
          <w:tcPr>
            <w:tcW w:w="444" w:type="dxa"/>
            <w:tcBorders>
              <w:bottom w:val="single" w:color="000000" w:sz="8" w:space="0"/>
              <w:right w:val="single" w:color="000000" w:sz="8" w:space="0"/>
            </w:tcBorders>
            <w:noWrap w:val="0"/>
            <w:tcMar>
              <w:top w:w="5" w:type="dxa"/>
              <w:left w:w="113" w:type="dxa"/>
              <w:bottom w:w="10" w:type="dxa"/>
              <w:right w:w="118" w:type="dxa"/>
            </w:tcMar>
            <w:vAlign w:val="center"/>
          </w:tcPr>
          <w:p>
            <w:pPr>
              <w:pStyle w:val="6"/>
              <w:jc w:val="center"/>
              <w:rPr>
                <w:b w:val="0"/>
                <w:bCs w:val="0"/>
                <w:i w:val="0"/>
                <w:iCs w:val="0"/>
                <w:smallCaps w:val="0"/>
                <w:color w:val="000000"/>
              </w:rPr>
            </w:pPr>
            <w:r>
              <w:rPr>
                <w:rFonts w:ascii="宋体" w:hAnsi="宋体" w:eastAsia="宋体" w:cs="宋体"/>
                <w:b w:val="0"/>
                <w:bCs w:val="0"/>
                <w:i w:val="0"/>
                <w:iCs w:val="0"/>
                <w:smallCaps w:val="0"/>
                <w:color w:val="000000"/>
                <w:sz w:val="20"/>
                <w:szCs w:val="20"/>
                <w:lang w:val="en-US" w:eastAsia="en-US"/>
              </w:rPr>
              <w:t>1</w:t>
            </w:r>
          </w:p>
        </w:tc>
        <w:tc>
          <w:tcPr>
            <w:tcW w:w="924" w:type="dxa"/>
            <w:tcBorders>
              <w:bottom w:val="single" w:color="000000" w:sz="8" w:space="0"/>
              <w:right w:val="single" w:color="000000" w:sz="8" w:space="0"/>
            </w:tcBorders>
            <w:noWrap w:val="0"/>
            <w:tcMar>
              <w:top w:w="5" w:type="dxa"/>
              <w:left w:w="113" w:type="dxa"/>
              <w:bottom w:w="10" w:type="dxa"/>
              <w:right w:w="118" w:type="dxa"/>
            </w:tcMar>
            <w:vAlign w:val="center"/>
          </w:tcPr>
          <w:p>
            <w:pPr>
              <w:pStyle w:val="6"/>
              <w:jc w:val="right"/>
              <w:rPr>
                <w:rFonts w:hint="eastAsia" w:ascii="仿宋" w:hAnsi="仿宋" w:eastAsia="仿宋" w:cs="仿宋"/>
                <w:b w:val="0"/>
                <w:bCs w:val="0"/>
                <w:i w:val="0"/>
                <w:iCs w:val="0"/>
                <w:smallCaps w:val="0"/>
                <w:color w:val="000000"/>
                <w:sz w:val="13"/>
                <w:szCs w:val="13"/>
              </w:rPr>
            </w:pPr>
            <w:r>
              <w:rPr>
                <w:rFonts w:hint="eastAsia" w:ascii="仿宋" w:hAnsi="仿宋" w:eastAsia="仿宋" w:cs="仿宋"/>
                <w:b w:val="0"/>
                <w:bCs w:val="0"/>
                <w:i w:val="0"/>
                <w:iCs w:val="0"/>
                <w:smallCaps w:val="0"/>
                <w:color w:val="000000"/>
                <w:sz w:val="13"/>
                <w:szCs w:val="13"/>
                <w:lang w:val="en-US" w:eastAsia="zh-CN"/>
              </w:rPr>
              <w:t>646</w:t>
            </w:r>
            <w:r>
              <w:rPr>
                <w:rFonts w:hint="eastAsia" w:ascii="仿宋" w:hAnsi="仿宋" w:eastAsia="仿宋" w:cs="仿宋"/>
                <w:i w:val="0"/>
                <w:iCs w:val="0"/>
                <w:caps w:val="0"/>
                <w:color w:val="000000" w:themeColor="text1"/>
                <w:spacing w:val="0"/>
                <w:kern w:val="0"/>
                <w:sz w:val="13"/>
                <w:szCs w:val="13"/>
                <w:shd w:val="clear" w:fill="FFFFFF"/>
                <w:lang w:val="en-US" w:eastAsia="zh-CN" w:bidi="ar"/>
                <w14:textFill>
                  <w14:solidFill>
                    <w14:schemeClr w14:val="tx1"/>
                  </w14:solidFill>
                </w14:textFill>
              </w:rPr>
              <w:t>,</w:t>
            </w:r>
            <w:r>
              <w:rPr>
                <w:rFonts w:hint="eastAsia" w:ascii="仿宋" w:hAnsi="仿宋" w:eastAsia="仿宋" w:cs="仿宋"/>
                <w:b w:val="0"/>
                <w:bCs w:val="0"/>
                <w:i w:val="0"/>
                <w:iCs w:val="0"/>
                <w:smallCaps w:val="0"/>
                <w:color w:val="000000"/>
                <w:sz w:val="13"/>
                <w:szCs w:val="13"/>
                <w:lang w:val="en-US" w:eastAsia="zh-CN"/>
              </w:rPr>
              <w:t>631.93</w:t>
            </w:r>
            <w:r>
              <w:rPr>
                <w:rFonts w:hint="eastAsia" w:ascii="仿宋" w:hAnsi="仿宋" w:eastAsia="仿宋" w:cs="仿宋"/>
                <w:b w:val="0"/>
                <w:bCs w:val="0"/>
                <w:i w:val="0"/>
                <w:iCs w:val="0"/>
                <w:smallCaps w:val="0"/>
                <w:color w:val="000000"/>
                <w:sz w:val="13"/>
                <w:szCs w:val="13"/>
              </w:rPr>
              <w:t>　</w:t>
            </w:r>
          </w:p>
        </w:tc>
        <w:tc>
          <w:tcPr>
            <w:tcW w:w="960" w:type="dxa"/>
            <w:tcBorders>
              <w:bottom w:val="single" w:color="000000" w:sz="8" w:space="0"/>
              <w:right w:val="single" w:color="000000" w:sz="8" w:space="0"/>
            </w:tcBorders>
            <w:noWrap w:val="0"/>
            <w:tcMar>
              <w:top w:w="5" w:type="dxa"/>
              <w:left w:w="113" w:type="dxa"/>
              <w:bottom w:w="10" w:type="dxa"/>
              <w:right w:w="118" w:type="dxa"/>
            </w:tcMar>
            <w:vAlign w:val="center"/>
          </w:tcPr>
          <w:p>
            <w:pPr>
              <w:pStyle w:val="6"/>
              <w:jc w:val="right"/>
              <w:rPr>
                <w:rFonts w:hint="eastAsia" w:ascii="仿宋" w:hAnsi="仿宋" w:eastAsia="仿宋" w:cs="仿宋"/>
                <w:b w:val="0"/>
                <w:bCs w:val="0"/>
                <w:i w:val="0"/>
                <w:iCs w:val="0"/>
                <w:smallCaps w:val="0"/>
                <w:color w:val="000000"/>
                <w:sz w:val="13"/>
                <w:szCs w:val="13"/>
              </w:rPr>
            </w:pPr>
            <w:r>
              <w:rPr>
                <w:rFonts w:hint="eastAsia" w:ascii="仿宋" w:hAnsi="仿宋" w:eastAsia="仿宋" w:cs="仿宋"/>
                <w:b w:val="0"/>
                <w:bCs w:val="0"/>
                <w:i w:val="0"/>
                <w:iCs w:val="0"/>
                <w:smallCaps w:val="0"/>
                <w:color w:val="000000"/>
                <w:sz w:val="13"/>
                <w:szCs w:val="13"/>
                <w:lang w:val="en-US" w:eastAsia="zh-CN"/>
              </w:rPr>
              <w:t>121</w:t>
            </w:r>
            <w:r>
              <w:rPr>
                <w:rFonts w:hint="eastAsia" w:ascii="仿宋" w:hAnsi="仿宋" w:eastAsia="仿宋" w:cs="仿宋"/>
                <w:i w:val="0"/>
                <w:iCs w:val="0"/>
                <w:caps w:val="0"/>
                <w:color w:val="000000" w:themeColor="text1"/>
                <w:spacing w:val="0"/>
                <w:kern w:val="0"/>
                <w:sz w:val="13"/>
                <w:szCs w:val="13"/>
                <w:shd w:val="clear" w:fill="FFFFFF"/>
                <w:lang w:val="en-US" w:eastAsia="zh-CN" w:bidi="ar"/>
                <w14:textFill>
                  <w14:solidFill>
                    <w14:schemeClr w14:val="tx1"/>
                  </w14:solidFill>
                </w14:textFill>
              </w:rPr>
              <w:t>,</w:t>
            </w:r>
            <w:r>
              <w:rPr>
                <w:rFonts w:hint="eastAsia" w:ascii="仿宋" w:hAnsi="仿宋" w:eastAsia="仿宋" w:cs="仿宋"/>
                <w:b w:val="0"/>
                <w:bCs w:val="0"/>
                <w:i w:val="0"/>
                <w:iCs w:val="0"/>
                <w:smallCaps w:val="0"/>
                <w:color w:val="000000"/>
                <w:sz w:val="13"/>
                <w:szCs w:val="13"/>
                <w:lang w:val="en-US" w:eastAsia="zh-CN"/>
              </w:rPr>
              <w:t>338.36</w:t>
            </w:r>
            <w:r>
              <w:rPr>
                <w:rFonts w:hint="eastAsia" w:ascii="仿宋" w:hAnsi="仿宋" w:eastAsia="仿宋" w:cs="仿宋"/>
                <w:b w:val="0"/>
                <w:bCs w:val="0"/>
                <w:i w:val="0"/>
                <w:iCs w:val="0"/>
                <w:smallCaps w:val="0"/>
                <w:color w:val="000000"/>
                <w:sz w:val="13"/>
                <w:szCs w:val="13"/>
              </w:rPr>
              <w:t>　</w:t>
            </w:r>
          </w:p>
        </w:tc>
        <w:tc>
          <w:tcPr>
            <w:tcW w:w="888" w:type="dxa"/>
            <w:tcBorders>
              <w:bottom w:val="single" w:color="000000" w:sz="8" w:space="0"/>
              <w:right w:val="single" w:color="000000" w:sz="8" w:space="0"/>
            </w:tcBorders>
            <w:noWrap w:val="0"/>
            <w:tcMar>
              <w:top w:w="5" w:type="dxa"/>
              <w:left w:w="113" w:type="dxa"/>
              <w:bottom w:w="10" w:type="dxa"/>
              <w:right w:w="118" w:type="dxa"/>
            </w:tcMar>
            <w:vAlign w:val="center"/>
          </w:tcPr>
          <w:p>
            <w:pPr>
              <w:snapToGrid w:val="0"/>
              <w:contextualSpacing/>
              <w:jc w:val="center"/>
              <w:rPr>
                <w:rFonts w:hint="eastAsia" w:ascii="仿宋" w:hAnsi="仿宋" w:eastAsia="仿宋" w:cs="仿宋"/>
                <w:b w:val="0"/>
                <w:bCs w:val="0"/>
                <w:i w:val="0"/>
                <w:iCs w:val="0"/>
                <w:smallCaps w:val="0"/>
                <w:color w:val="000000"/>
                <w:sz w:val="13"/>
                <w:szCs w:val="13"/>
              </w:rPr>
            </w:pPr>
            <w:r>
              <w:rPr>
                <w:rFonts w:hint="eastAsia" w:ascii="仿宋" w:hAnsi="仿宋" w:eastAsia="仿宋" w:cs="仿宋"/>
                <w:color w:val="000000" w:themeColor="text1"/>
                <w:sz w:val="13"/>
                <w:szCs w:val="13"/>
                <w:lang w:val="en-US" w:eastAsia="zh-CN"/>
                <w14:textFill>
                  <w14:solidFill>
                    <w14:schemeClr w14:val="tx1"/>
                  </w14:solidFill>
                </w14:textFill>
              </w:rPr>
              <w:t>448</w:t>
            </w:r>
            <w:r>
              <w:rPr>
                <w:rFonts w:hint="eastAsia" w:ascii="仿宋" w:hAnsi="仿宋" w:eastAsia="仿宋" w:cs="仿宋"/>
                <w:i w:val="0"/>
                <w:iCs w:val="0"/>
                <w:caps w:val="0"/>
                <w:color w:val="000000" w:themeColor="text1"/>
                <w:spacing w:val="0"/>
                <w:kern w:val="0"/>
                <w:sz w:val="13"/>
                <w:szCs w:val="13"/>
                <w:shd w:val="clear" w:fill="FFFFFF"/>
                <w:lang w:val="en-US" w:eastAsia="zh-CN" w:bidi="ar"/>
                <w14:textFill>
                  <w14:solidFill>
                    <w14:schemeClr w14:val="tx1"/>
                  </w14:solidFill>
                </w14:textFill>
              </w:rPr>
              <w:t>,</w:t>
            </w:r>
            <w:r>
              <w:rPr>
                <w:rFonts w:hint="eastAsia" w:ascii="仿宋" w:hAnsi="仿宋" w:eastAsia="仿宋" w:cs="仿宋"/>
                <w:color w:val="000000" w:themeColor="text1"/>
                <w:sz w:val="13"/>
                <w:szCs w:val="13"/>
                <w:lang w:val="en-US" w:eastAsia="zh-CN"/>
                <w14:textFill>
                  <w14:solidFill>
                    <w14:schemeClr w14:val="tx1"/>
                  </w14:solidFill>
                </w14:textFill>
              </w:rPr>
              <w:t>780.53</w:t>
            </w:r>
          </w:p>
        </w:tc>
        <w:tc>
          <w:tcPr>
            <w:tcW w:w="996" w:type="dxa"/>
            <w:tcBorders>
              <w:bottom w:val="single" w:color="000000" w:sz="8" w:space="0"/>
              <w:right w:val="single" w:color="000000" w:sz="8" w:space="0"/>
            </w:tcBorders>
            <w:noWrap w:val="0"/>
            <w:tcMar>
              <w:top w:w="5" w:type="dxa"/>
              <w:left w:w="113" w:type="dxa"/>
              <w:bottom w:w="10" w:type="dxa"/>
              <w:right w:w="118" w:type="dxa"/>
            </w:tcMar>
            <w:vAlign w:val="center"/>
          </w:tcPr>
          <w:p>
            <w:pPr>
              <w:snapToGrid w:val="0"/>
              <w:contextualSpacing/>
              <w:jc w:val="center"/>
              <w:rPr>
                <w:rFonts w:hint="eastAsia" w:ascii="仿宋" w:hAnsi="仿宋" w:eastAsia="仿宋" w:cs="仿宋"/>
                <w:b w:val="0"/>
                <w:bCs w:val="0"/>
                <w:i w:val="0"/>
                <w:iCs w:val="0"/>
                <w:smallCaps w:val="0"/>
                <w:color w:val="000000"/>
                <w:sz w:val="13"/>
                <w:szCs w:val="13"/>
              </w:rPr>
            </w:pPr>
            <w:r>
              <w:rPr>
                <w:rFonts w:hint="eastAsia" w:ascii="仿宋" w:hAnsi="仿宋" w:eastAsia="仿宋" w:cs="仿宋"/>
                <w:color w:val="000000"/>
                <w:sz w:val="13"/>
                <w:szCs w:val="13"/>
                <w:lang w:val="en-US" w:eastAsia="zh-CN"/>
              </w:rPr>
              <w:t>217</w:t>
            </w:r>
            <w:r>
              <w:rPr>
                <w:rFonts w:hint="eastAsia" w:ascii="仿宋" w:hAnsi="仿宋" w:eastAsia="仿宋" w:cs="仿宋"/>
                <w:i w:val="0"/>
                <w:iCs w:val="0"/>
                <w:caps w:val="0"/>
                <w:color w:val="000000" w:themeColor="text1"/>
                <w:spacing w:val="0"/>
                <w:kern w:val="0"/>
                <w:sz w:val="13"/>
                <w:szCs w:val="13"/>
                <w:shd w:val="clear" w:fill="FFFFFF"/>
                <w:lang w:val="en-US" w:eastAsia="zh-CN" w:bidi="ar"/>
                <w14:textFill>
                  <w14:solidFill>
                    <w14:schemeClr w14:val="tx1"/>
                  </w14:solidFill>
                </w14:textFill>
              </w:rPr>
              <w:t>,</w:t>
            </w:r>
            <w:r>
              <w:rPr>
                <w:rFonts w:hint="eastAsia" w:ascii="仿宋" w:hAnsi="仿宋" w:eastAsia="仿宋" w:cs="仿宋"/>
                <w:color w:val="000000"/>
                <w:sz w:val="13"/>
                <w:szCs w:val="13"/>
                <w:lang w:val="en-US" w:eastAsia="zh-CN"/>
              </w:rPr>
              <w:t>471.74</w:t>
            </w:r>
          </w:p>
        </w:tc>
        <w:tc>
          <w:tcPr>
            <w:tcW w:w="684" w:type="dxa"/>
            <w:tcBorders>
              <w:bottom w:val="single" w:color="000000" w:sz="8" w:space="0"/>
              <w:right w:val="single" w:color="000000" w:sz="8" w:space="0"/>
            </w:tcBorders>
            <w:noWrap w:val="0"/>
            <w:tcMar>
              <w:top w:w="5" w:type="dxa"/>
              <w:left w:w="113" w:type="dxa"/>
              <w:bottom w:w="10" w:type="dxa"/>
              <w:right w:w="118" w:type="dxa"/>
            </w:tcMar>
            <w:vAlign w:val="center"/>
          </w:tcPr>
          <w:p>
            <w:pPr>
              <w:snapToGrid w:val="0"/>
              <w:contextualSpacing/>
              <w:jc w:val="center"/>
              <w:rPr>
                <w:rFonts w:hint="eastAsia" w:ascii="仿宋" w:hAnsi="仿宋" w:eastAsia="仿宋" w:cs="仿宋"/>
                <w:b w:val="0"/>
                <w:bCs w:val="0"/>
                <w:i w:val="0"/>
                <w:iCs w:val="0"/>
                <w:smallCaps w:val="0"/>
                <w:color w:val="000000"/>
                <w:sz w:val="13"/>
                <w:szCs w:val="13"/>
              </w:rPr>
            </w:pPr>
            <w:r>
              <w:rPr>
                <w:rFonts w:hint="eastAsia" w:ascii="仿宋" w:hAnsi="仿宋" w:eastAsia="仿宋" w:cs="仿宋"/>
                <w:color w:val="000000"/>
                <w:sz w:val="13"/>
                <w:szCs w:val="13"/>
              </w:rPr>
              <w:t>994.91</w:t>
            </w:r>
          </w:p>
        </w:tc>
        <w:tc>
          <w:tcPr>
            <w:tcW w:w="972" w:type="dxa"/>
            <w:tcBorders>
              <w:bottom w:val="single" w:color="000000" w:sz="8" w:space="0"/>
              <w:right w:val="single" w:color="000000" w:sz="8" w:space="0"/>
            </w:tcBorders>
            <w:noWrap w:val="0"/>
            <w:tcMar>
              <w:top w:w="5" w:type="dxa"/>
              <w:left w:w="113" w:type="dxa"/>
              <w:bottom w:w="10" w:type="dxa"/>
              <w:right w:w="118" w:type="dxa"/>
            </w:tcMar>
            <w:vAlign w:val="center"/>
          </w:tcPr>
          <w:p>
            <w:pPr>
              <w:snapToGrid w:val="0"/>
              <w:contextualSpacing/>
              <w:jc w:val="center"/>
              <w:rPr>
                <w:rFonts w:hint="eastAsia" w:ascii="仿宋" w:hAnsi="仿宋" w:eastAsia="仿宋" w:cs="仿宋"/>
                <w:b w:val="0"/>
                <w:bCs w:val="0"/>
                <w:i w:val="0"/>
                <w:iCs w:val="0"/>
                <w:smallCaps w:val="0"/>
                <w:color w:val="000000"/>
                <w:sz w:val="13"/>
                <w:szCs w:val="13"/>
              </w:rPr>
            </w:pPr>
            <w:r>
              <w:rPr>
                <w:rFonts w:hint="eastAsia" w:ascii="仿宋" w:hAnsi="仿宋" w:eastAsia="仿宋" w:cs="仿宋"/>
                <w:color w:val="000000"/>
                <w:sz w:val="13"/>
                <w:szCs w:val="13"/>
                <w:lang w:val="en-US" w:eastAsia="zh-CN"/>
              </w:rPr>
              <w:t>104</w:t>
            </w:r>
            <w:r>
              <w:rPr>
                <w:rFonts w:hint="eastAsia" w:ascii="仿宋" w:hAnsi="仿宋" w:eastAsia="仿宋" w:cs="仿宋"/>
                <w:i w:val="0"/>
                <w:iCs w:val="0"/>
                <w:caps w:val="0"/>
                <w:color w:val="000000" w:themeColor="text1"/>
                <w:spacing w:val="0"/>
                <w:kern w:val="0"/>
                <w:sz w:val="13"/>
                <w:szCs w:val="13"/>
                <w:shd w:val="clear" w:fill="FFFFFF"/>
                <w:lang w:val="en-US" w:eastAsia="zh-CN" w:bidi="ar"/>
                <w14:textFill>
                  <w14:solidFill>
                    <w14:schemeClr w14:val="tx1"/>
                  </w14:solidFill>
                </w14:textFill>
              </w:rPr>
              <w:t>,</w:t>
            </w:r>
            <w:r>
              <w:rPr>
                <w:rFonts w:hint="eastAsia" w:ascii="仿宋" w:hAnsi="仿宋" w:eastAsia="仿宋" w:cs="仿宋"/>
                <w:color w:val="000000"/>
                <w:sz w:val="13"/>
                <w:szCs w:val="13"/>
                <w:lang w:val="en-US" w:eastAsia="zh-CN"/>
              </w:rPr>
              <w:t>386.64</w:t>
            </w:r>
          </w:p>
        </w:tc>
        <w:tc>
          <w:tcPr>
            <w:tcW w:w="900" w:type="dxa"/>
            <w:tcBorders>
              <w:bottom w:val="single" w:color="000000" w:sz="8" w:space="0"/>
              <w:right w:val="single" w:color="000000" w:sz="8" w:space="0"/>
            </w:tcBorders>
            <w:noWrap w:val="0"/>
            <w:tcMar>
              <w:top w:w="5" w:type="dxa"/>
              <w:left w:w="113" w:type="dxa"/>
              <w:bottom w:w="10" w:type="dxa"/>
              <w:right w:w="118" w:type="dxa"/>
            </w:tcMar>
            <w:vAlign w:val="center"/>
          </w:tcPr>
          <w:p>
            <w:pPr>
              <w:snapToGrid w:val="0"/>
              <w:contextualSpacing/>
              <w:jc w:val="center"/>
              <w:rPr>
                <w:rFonts w:hint="eastAsia" w:ascii="仿宋" w:hAnsi="仿宋" w:eastAsia="仿宋" w:cs="仿宋"/>
                <w:b w:val="0"/>
                <w:bCs w:val="0"/>
                <w:i w:val="0"/>
                <w:iCs w:val="0"/>
                <w:smallCaps w:val="0"/>
                <w:color w:val="000000"/>
                <w:sz w:val="13"/>
                <w:szCs w:val="13"/>
              </w:rPr>
            </w:pPr>
            <w:r>
              <w:rPr>
                <w:rFonts w:hint="eastAsia" w:ascii="仿宋" w:hAnsi="仿宋" w:eastAsia="仿宋" w:cs="仿宋"/>
                <w:color w:val="000000"/>
                <w:sz w:val="13"/>
                <w:szCs w:val="13"/>
                <w:lang w:val="en-US" w:eastAsia="zh-CN"/>
              </w:rPr>
              <w:t>125</w:t>
            </w:r>
            <w:r>
              <w:rPr>
                <w:rFonts w:hint="eastAsia" w:ascii="仿宋" w:hAnsi="仿宋" w:eastAsia="仿宋" w:cs="仿宋"/>
                <w:i w:val="0"/>
                <w:iCs w:val="0"/>
                <w:caps w:val="0"/>
                <w:color w:val="000000" w:themeColor="text1"/>
                <w:spacing w:val="0"/>
                <w:kern w:val="0"/>
                <w:sz w:val="13"/>
                <w:szCs w:val="13"/>
                <w:shd w:val="clear" w:fill="FFFFFF"/>
                <w:lang w:val="en-US" w:eastAsia="zh-CN" w:bidi="ar"/>
                <w14:textFill>
                  <w14:solidFill>
                    <w14:schemeClr w14:val="tx1"/>
                  </w14:solidFill>
                </w14:textFill>
              </w:rPr>
              <w:t>,</w:t>
            </w:r>
            <w:r>
              <w:rPr>
                <w:rFonts w:hint="eastAsia" w:ascii="仿宋" w:hAnsi="仿宋" w:eastAsia="仿宋" w:cs="仿宋"/>
                <w:color w:val="000000"/>
                <w:sz w:val="13"/>
                <w:szCs w:val="13"/>
                <w:lang w:val="en-US" w:eastAsia="zh-CN"/>
              </w:rPr>
              <w:t>927.24</w:t>
            </w:r>
          </w:p>
        </w:tc>
        <w:tc>
          <w:tcPr>
            <w:tcW w:w="696" w:type="dxa"/>
            <w:tcBorders>
              <w:bottom w:val="single" w:color="000000" w:sz="8" w:space="0"/>
              <w:right w:val="single" w:color="000000" w:sz="8" w:space="0"/>
            </w:tcBorders>
            <w:noWrap w:val="0"/>
            <w:tcMar>
              <w:top w:w="5" w:type="dxa"/>
              <w:left w:w="113" w:type="dxa"/>
              <w:bottom w:w="10" w:type="dxa"/>
              <w:right w:w="118" w:type="dxa"/>
            </w:tcMar>
            <w:vAlign w:val="center"/>
          </w:tcPr>
          <w:p>
            <w:pPr>
              <w:snapToGrid w:val="0"/>
              <w:contextualSpacing/>
              <w:jc w:val="center"/>
              <w:rPr>
                <w:rFonts w:hint="default" w:ascii="仿宋" w:hAnsi="仿宋" w:eastAsia="仿宋" w:cs="仿宋"/>
                <w:b w:val="0"/>
                <w:bCs w:val="0"/>
                <w:i w:val="0"/>
                <w:iCs w:val="0"/>
                <w:smallCaps w:val="0"/>
                <w:color w:val="000000"/>
                <w:sz w:val="13"/>
                <w:szCs w:val="13"/>
                <w:lang w:val="en-US" w:eastAsia="zh-CN"/>
              </w:rPr>
            </w:pPr>
            <w:r>
              <w:rPr>
                <w:rFonts w:hint="eastAsia" w:ascii="仿宋" w:hAnsi="仿宋" w:eastAsia="仿宋" w:cs="仿宋"/>
                <w:color w:val="000000"/>
                <w:sz w:val="13"/>
                <w:szCs w:val="13"/>
              </w:rPr>
              <w:t>590</w:t>
            </w:r>
            <w:r>
              <w:rPr>
                <w:rFonts w:hint="eastAsia" w:ascii="仿宋" w:hAnsi="仿宋" w:eastAsia="仿宋" w:cs="仿宋"/>
                <w:color w:val="000000"/>
                <w:sz w:val="13"/>
                <w:szCs w:val="13"/>
                <w:lang w:val="en-US" w:eastAsia="zh-CN"/>
              </w:rPr>
              <w:t>.00</w:t>
            </w:r>
          </w:p>
        </w:tc>
        <w:tc>
          <w:tcPr>
            <w:tcW w:w="972" w:type="dxa"/>
            <w:tcBorders>
              <w:bottom w:val="single" w:color="000000" w:sz="8" w:space="0"/>
              <w:right w:val="single" w:color="000000" w:sz="8" w:space="0"/>
            </w:tcBorders>
            <w:noWrap w:val="0"/>
            <w:tcMar>
              <w:top w:w="5" w:type="dxa"/>
              <w:left w:w="113" w:type="dxa"/>
              <w:bottom w:w="10" w:type="dxa"/>
              <w:right w:w="118" w:type="dxa"/>
            </w:tcMar>
            <w:vAlign w:val="center"/>
          </w:tcPr>
          <w:p>
            <w:pPr>
              <w:snapToGrid w:val="0"/>
              <w:contextualSpacing/>
              <w:jc w:val="center"/>
              <w:rPr>
                <w:rFonts w:hint="eastAsia" w:ascii="仿宋" w:hAnsi="仿宋" w:eastAsia="仿宋" w:cs="仿宋"/>
                <w:b w:val="0"/>
                <w:bCs w:val="0"/>
                <w:i w:val="0"/>
                <w:iCs w:val="0"/>
                <w:smallCaps w:val="0"/>
                <w:color w:val="000000"/>
                <w:sz w:val="13"/>
                <w:szCs w:val="13"/>
              </w:rPr>
            </w:pPr>
            <w:r>
              <w:rPr>
                <w:rFonts w:hint="eastAsia" w:ascii="仿宋" w:hAnsi="仿宋" w:eastAsia="仿宋" w:cs="仿宋"/>
                <w:color w:val="000000"/>
                <w:sz w:val="13"/>
                <w:szCs w:val="13"/>
                <w:lang w:val="en-US" w:eastAsia="zh-CN"/>
              </w:rPr>
              <w:t>67</w:t>
            </w:r>
            <w:r>
              <w:rPr>
                <w:rFonts w:hint="eastAsia" w:ascii="仿宋" w:hAnsi="仿宋" w:eastAsia="仿宋" w:cs="仿宋"/>
                <w:i w:val="0"/>
                <w:iCs w:val="0"/>
                <w:caps w:val="0"/>
                <w:color w:val="000000" w:themeColor="text1"/>
                <w:spacing w:val="0"/>
                <w:kern w:val="0"/>
                <w:sz w:val="13"/>
                <w:szCs w:val="13"/>
                <w:shd w:val="clear" w:fill="FFFFFF"/>
                <w:lang w:val="en-US" w:eastAsia="zh-CN" w:bidi="ar"/>
                <w14:textFill>
                  <w14:solidFill>
                    <w14:schemeClr w14:val="tx1"/>
                  </w14:solidFill>
                </w14:textFill>
              </w:rPr>
              <w:t>,</w:t>
            </w:r>
            <w:r>
              <w:rPr>
                <w:rFonts w:hint="eastAsia" w:ascii="仿宋" w:hAnsi="仿宋" w:eastAsia="仿宋" w:cs="仿宋"/>
                <w:color w:val="000000"/>
                <w:sz w:val="13"/>
                <w:szCs w:val="13"/>
                <w:lang w:val="en-US" w:eastAsia="zh-CN"/>
              </w:rPr>
              <w:t>319.58</w:t>
            </w:r>
          </w:p>
        </w:tc>
        <w:tc>
          <w:tcPr>
            <w:tcW w:w="792" w:type="dxa"/>
            <w:tcBorders>
              <w:bottom w:val="single" w:color="000000" w:sz="8" w:space="0"/>
              <w:right w:val="single" w:color="000000" w:sz="8" w:space="0"/>
            </w:tcBorders>
            <w:noWrap w:val="0"/>
            <w:tcMar>
              <w:top w:w="5" w:type="dxa"/>
              <w:left w:w="113" w:type="dxa"/>
              <w:bottom w:w="10" w:type="dxa"/>
              <w:right w:w="118" w:type="dxa"/>
            </w:tcMar>
            <w:vAlign w:val="center"/>
          </w:tcPr>
          <w:p>
            <w:pPr>
              <w:snapToGrid w:val="0"/>
              <w:contextualSpacing/>
              <w:jc w:val="center"/>
              <w:rPr>
                <w:rFonts w:hint="eastAsia" w:ascii="仿宋" w:hAnsi="仿宋" w:eastAsia="仿宋" w:cs="仿宋"/>
                <w:b w:val="0"/>
                <w:bCs w:val="0"/>
                <w:i w:val="0"/>
                <w:iCs w:val="0"/>
                <w:smallCaps w:val="0"/>
                <w:color w:val="000000"/>
                <w:sz w:val="13"/>
                <w:szCs w:val="13"/>
              </w:rPr>
            </w:pPr>
            <w:r>
              <w:rPr>
                <w:rFonts w:hint="eastAsia" w:ascii="仿宋" w:hAnsi="仿宋" w:eastAsia="仿宋" w:cs="仿宋"/>
                <w:color w:val="000000"/>
                <w:sz w:val="13"/>
                <w:szCs w:val="13"/>
                <w:lang w:val="en-US" w:eastAsia="zh-CN"/>
              </w:rPr>
              <w:t>8</w:t>
            </w:r>
            <w:r>
              <w:rPr>
                <w:rFonts w:hint="eastAsia" w:ascii="仿宋" w:hAnsi="仿宋" w:eastAsia="仿宋" w:cs="仿宋"/>
                <w:i w:val="0"/>
                <w:iCs w:val="0"/>
                <w:caps w:val="0"/>
                <w:color w:val="000000" w:themeColor="text1"/>
                <w:spacing w:val="0"/>
                <w:kern w:val="0"/>
                <w:sz w:val="13"/>
                <w:szCs w:val="13"/>
                <w:shd w:val="clear" w:fill="FFFFFF"/>
                <w:lang w:val="en-US" w:eastAsia="zh-CN" w:bidi="ar"/>
                <w14:textFill>
                  <w14:solidFill>
                    <w14:schemeClr w14:val="tx1"/>
                  </w14:solidFill>
                </w14:textFill>
              </w:rPr>
              <w:t>,</w:t>
            </w:r>
            <w:r>
              <w:rPr>
                <w:rFonts w:hint="eastAsia" w:ascii="仿宋" w:hAnsi="仿宋" w:eastAsia="仿宋" w:cs="仿宋"/>
                <w:color w:val="000000"/>
                <w:sz w:val="13"/>
                <w:szCs w:val="13"/>
                <w:lang w:val="en-US" w:eastAsia="zh-CN"/>
              </w:rPr>
              <w:t>032.28</w:t>
            </w:r>
          </w:p>
        </w:tc>
        <w:tc>
          <w:tcPr>
            <w:tcW w:w="697" w:type="dxa"/>
            <w:tcBorders>
              <w:bottom w:val="single" w:color="000000" w:sz="8" w:space="0"/>
              <w:right w:val="single" w:color="000000" w:sz="8" w:space="0"/>
            </w:tcBorders>
            <w:noWrap w:val="0"/>
            <w:tcMar>
              <w:top w:w="5" w:type="dxa"/>
              <w:left w:w="113" w:type="dxa"/>
              <w:bottom w:w="10" w:type="dxa"/>
              <w:right w:w="118" w:type="dxa"/>
            </w:tcMar>
            <w:vAlign w:val="center"/>
          </w:tcPr>
          <w:p>
            <w:pPr>
              <w:pStyle w:val="6"/>
              <w:jc w:val="right"/>
              <w:rPr>
                <w:rFonts w:hint="eastAsia" w:ascii="仿宋" w:hAnsi="仿宋" w:eastAsia="仿宋" w:cs="仿宋"/>
                <w:b w:val="0"/>
                <w:bCs w:val="0"/>
                <w:i w:val="0"/>
                <w:iCs w:val="0"/>
                <w:smallCaps w:val="0"/>
                <w:color w:val="000000"/>
                <w:sz w:val="13"/>
                <w:szCs w:val="13"/>
              </w:rPr>
            </w:pPr>
            <w:r>
              <w:rPr>
                <w:rFonts w:hint="eastAsia" w:ascii="仿宋" w:hAnsi="仿宋" w:eastAsia="仿宋" w:cs="仿宋"/>
                <w:color w:val="000000"/>
                <w:sz w:val="13"/>
                <w:szCs w:val="13"/>
                <w:lang w:val="en-US" w:eastAsia="zh-CN"/>
              </w:rPr>
              <w:t>571.18</w:t>
            </w:r>
            <w:r>
              <w:rPr>
                <w:rFonts w:hint="eastAsia" w:ascii="仿宋" w:hAnsi="仿宋" w:eastAsia="仿宋" w:cs="仿宋"/>
                <w:b w:val="0"/>
                <w:bCs w:val="0"/>
                <w:i w:val="0"/>
                <w:iCs w:val="0"/>
                <w:smallCaps w:val="0"/>
                <w:color w:val="000000"/>
                <w:sz w:val="13"/>
                <w:szCs w:val="13"/>
              </w:rPr>
              <w:t>　</w:t>
            </w:r>
          </w:p>
        </w:tc>
        <w:tc>
          <w:tcPr>
            <w:tcW w:w="156" w:type="dxa"/>
            <w:noWrap w:val="0"/>
            <w:tcMar>
              <w:top w:w="5" w:type="dxa"/>
              <w:left w:w="5" w:type="dxa"/>
              <w:bottom w:w="5" w:type="dxa"/>
              <w:right w:w="5" w:type="dxa"/>
            </w:tcMar>
            <w:vAlign w:val="center"/>
          </w:tcPr>
          <w:p>
            <w:pPr>
              <w:rPr>
                <w:b w:val="0"/>
                <w:bCs w:val="0"/>
                <w:i w:val="0"/>
                <w:iCs w:val="0"/>
                <w:smallCaps w:val="0"/>
                <w:color w:val="000000"/>
              </w:rPr>
            </w:pPr>
            <w:r>
              <w:rPr>
                <w:b w:val="0"/>
                <w:bCs w:val="0"/>
                <w:i w:val="0"/>
                <w:iCs w:val="0"/>
                <w:smallCaps w:val="0"/>
                <w:color w:val="000000"/>
              </w:rPr>
              <w:t> </w:t>
            </w:r>
          </w:p>
        </w:tc>
      </w:tr>
      <w:tr>
        <w:tblPrEx>
          <w:tblCellMar>
            <w:top w:w="0" w:type="dxa"/>
            <w:left w:w="0" w:type="dxa"/>
            <w:bottom w:w="0" w:type="dxa"/>
            <w:right w:w="0" w:type="dxa"/>
          </w:tblCellMar>
        </w:tblPrEx>
        <w:trPr>
          <w:trHeight w:val="240" w:hRule="atLeast"/>
          <w:jc w:val="center"/>
        </w:trPr>
        <w:tc>
          <w:tcPr>
            <w:tcW w:w="10562" w:type="dxa"/>
            <w:gridSpan w:val="13"/>
            <w:noWrap w:val="0"/>
            <w:tcMar>
              <w:top w:w="5" w:type="dxa"/>
              <w:left w:w="113" w:type="dxa"/>
              <w:bottom w:w="5" w:type="dxa"/>
              <w:right w:w="113" w:type="dxa"/>
            </w:tcMar>
            <w:vAlign w:val="bottom"/>
          </w:tcPr>
          <w:p>
            <w:pPr>
              <w:pStyle w:val="6"/>
              <w:jc w:val="center"/>
              <w:rPr>
                <w:b w:val="0"/>
                <w:bCs w:val="0"/>
                <w:i w:val="0"/>
                <w:iCs w:val="0"/>
                <w:smallCaps w:val="0"/>
                <w:color w:val="000000"/>
              </w:rPr>
            </w:pPr>
            <w:r>
              <w:rPr>
                <w:rFonts w:ascii="宋体" w:hAnsi="宋体" w:eastAsia="宋体" w:cs="宋体"/>
                <w:b w:val="0"/>
                <w:bCs w:val="0"/>
                <w:i w:val="0"/>
                <w:iCs w:val="0"/>
                <w:smallCaps w:val="0"/>
                <w:color w:val="000000"/>
                <w:sz w:val="20"/>
                <w:szCs w:val="20"/>
              </w:rPr>
              <w:t>　</w:t>
            </w:r>
          </w:p>
        </w:tc>
        <w:tc>
          <w:tcPr>
            <w:tcW w:w="156" w:type="dxa"/>
            <w:noWrap w:val="0"/>
            <w:tcMar>
              <w:top w:w="5" w:type="dxa"/>
              <w:left w:w="5" w:type="dxa"/>
              <w:bottom w:w="5" w:type="dxa"/>
              <w:right w:w="5" w:type="dxa"/>
            </w:tcMar>
            <w:vAlign w:val="center"/>
          </w:tcPr>
          <w:p>
            <w:pPr>
              <w:rPr>
                <w:b w:val="0"/>
                <w:bCs w:val="0"/>
                <w:i w:val="0"/>
                <w:iCs w:val="0"/>
                <w:smallCaps w:val="0"/>
                <w:color w:val="000000"/>
              </w:rPr>
            </w:pPr>
            <w:r>
              <w:rPr>
                <w:b w:val="0"/>
                <w:bCs w:val="0"/>
                <w:i w:val="0"/>
                <w:iCs w:val="0"/>
                <w:smallCaps w:val="0"/>
                <w:color w:val="000000"/>
              </w:rPr>
              <w:t> </w:t>
            </w:r>
          </w:p>
        </w:tc>
      </w:tr>
      <w:tr>
        <w:tblPrEx>
          <w:tblCellMar>
            <w:top w:w="0" w:type="dxa"/>
            <w:left w:w="0" w:type="dxa"/>
            <w:bottom w:w="0" w:type="dxa"/>
            <w:right w:w="0" w:type="dxa"/>
          </w:tblCellMar>
        </w:tblPrEx>
        <w:trPr>
          <w:trHeight w:val="300" w:hRule="atLeast"/>
          <w:jc w:val="center"/>
        </w:trPr>
        <w:tc>
          <w:tcPr>
            <w:tcW w:w="1081" w:type="dxa"/>
            <w:gridSpan w:val="2"/>
            <w:noWrap w:val="0"/>
            <w:tcMar>
              <w:top w:w="5" w:type="dxa"/>
              <w:left w:w="113" w:type="dxa"/>
              <w:bottom w:w="5" w:type="dxa"/>
              <w:right w:w="113" w:type="dxa"/>
            </w:tcMar>
            <w:vAlign w:val="bottom"/>
          </w:tcPr>
          <w:p>
            <w:pPr>
              <w:pStyle w:val="6"/>
              <w:jc w:val="center"/>
              <w:rPr>
                <w:b w:val="0"/>
                <w:bCs w:val="0"/>
                <w:i w:val="0"/>
                <w:iCs w:val="0"/>
                <w:smallCaps w:val="0"/>
                <w:color w:val="000000"/>
              </w:rPr>
            </w:pPr>
            <w:r>
              <w:rPr>
                <w:rFonts w:ascii="宋体" w:hAnsi="宋体" w:eastAsia="宋体" w:cs="宋体"/>
                <w:b w:val="0"/>
                <w:bCs w:val="0"/>
                <w:i w:val="0"/>
                <w:iCs w:val="0"/>
                <w:smallCaps w:val="0"/>
                <w:color w:val="000000"/>
                <w:sz w:val="20"/>
                <w:szCs w:val="20"/>
              </w:rPr>
              <w:t>填报说明：</w:t>
            </w:r>
          </w:p>
        </w:tc>
        <w:tc>
          <w:tcPr>
            <w:tcW w:w="9481" w:type="dxa"/>
            <w:gridSpan w:val="11"/>
            <w:noWrap w:val="0"/>
            <w:tcMar>
              <w:top w:w="5" w:type="dxa"/>
              <w:left w:w="113" w:type="dxa"/>
              <w:bottom w:w="5" w:type="dxa"/>
              <w:right w:w="113" w:type="dxa"/>
            </w:tcMar>
            <w:vAlign w:val="center"/>
          </w:tcPr>
          <w:p>
            <w:pPr>
              <w:pStyle w:val="6"/>
              <w:jc w:val="left"/>
              <w:rPr>
                <w:b w:val="0"/>
                <w:bCs w:val="0"/>
                <w:i w:val="0"/>
                <w:iCs w:val="0"/>
                <w:smallCaps w:val="0"/>
                <w:color w:val="000000"/>
              </w:rPr>
            </w:pPr>
            <w:r>
              <w:rPr>
                <w:rFonts w:ascii="宋体" w:hAnsi="宋体" w:eastAsia="宋体" w:cs="宋体"/>
                <w:b w:val="0"/>
                <w:bCs w:val="0"/>
                <w:i w:val="0"/>
                <w:iCs w:val="0"/>
                <w:smallCaps w:val="0"/>
                <w:color w:val="000000"/>
                <w:sz w:val="20"/>
                <w:szCs w:val="20"/>
                <w:lang w:val="en-US" w:eastAsia="en-US"/>
              </w:rPr>
              <w:t>1.</w:t>
            </w:r>
            <w:r>
              <w:rPr>
                <w:rFonts w:ascii="宋体" w:hAnsi="宋体" w:eastAsia="宋体" w:cs="宋体"/>
                <w:b w:val="0"/>
                <w:bCs w:val="0"/>
                <w:i w:val="0"/>
                <w:iCs w:val="0"/>
                <w:smallCaps w:val="0"/>
                <w:color w:val="000000"/>
                <w:sz w:val="20"/>
                <w:szCs w:val="20"/>
              </w:rPr>
              <w:t>资产总额＝流动资产＋固定资产＋对外投资／有价证券＋在建工程＋无形资产＋其他资产</w:t>
            </w:r>
          </w:p>
        </w:tc>
        <w:tc>
          <w:tcPr>
            <w:tcW w:w="156" w:type="dxa"/>
            <w:noWrap w:val="0"/>
            <w:tcMar>
              <w:top w:w="5" w:type="dxa"/>
              <w:left w:w="5" w:type="dxa"/>
              <w:bottom w:w="5" w:type="dxa"/>
              <w:right w:w="5" w:type="dxa"/>
            </w:tcMar>
            <w:vAlign w:val="center"/>
          </w:tcPr>
          <w:p>
            <w:pPr>
              <w:rPr>
                <w:b w:val="0"/>
                <w:bCs w:val="0"/>
                <w:i w:val="0"/>
                <w:iCs w:val="0"/>
                <w:smallCaps w:val="0"/>
                <w:color w:val="000000"/>
              </w:rPr>
            </w:pPr>
            <w:r>
              <w:rPr>
                <w:b w:val="0"/>
                <w:bCs w:val="0"/>
                <w:i w:val="0"/>
                <w:iCs w:val="0"/>
                <w:smallCaps w:val="0"/>
                <w:color w:val="000000"/>
              </w:rPr>
              <w:t> </w:t>
            </w:r>
          </w:p>
        </w:tc>
      </w:tr>
      <w:tr>
        <w:tblPrEx>
          <w:tblCellMar>
            <w:top w:w="0" w:type="dxa"/>
            <w:left w:w="0" w:type="dxa"/>
            <w:bottom w:w="0" w:type="dxa"/>
            <w:right w:w="0" w:type="dxa"/>
          </w:tblCellMar>
        </w:tblPrEx>
        <w:trPr>
          <w:trHeight w:val="285" w:hRule="atLeast"/>
          <w:jc w:val="center"/>
        </w:trPr>
        <w:tc>
          <w:tcPr>
            <w:tcW w:w="637" w:type="dxa"/>
            <w:noWrap w:val="0"/>
            <w:tcMar>
              <w:top w:w="5" w:type="dxa"/>
              <w:left w:w="113" w:type="dxa"/>
              <w:bottom w:w="5" w:type="dxa"/>
              <w:right w:w="113" w:type="dxa"/>
            </w:tcMar>
            <w:vAlign w:val="center"/>
          </w:tcPr>
          <w:p>
            <w:pPr>
              <w:rPr>
                <w:b w:val="0"/>
                <w:bCs w:val="0"/>
                <w:i w:val="0"/>
                <w:iCs w:val="0"/>
                <w:smallCaps w:val="0"/>
                <w:color w:val="000000"/>
              </w:rPr>
            </w:pPr>
            <w:r>
              <w:rPr>
                <w:b w:val="0"/>
                <w:bCs w:val="0"/>
                <w:i w:val="0"/>
                <w:iCs w:val="0"/>
                <w:smallCaps w:val="0"/>
                <w:color w:val="000000"/>
              </w:rPr>
              <w:t> </w:t>
            </w:r>
          </w:p>
        </w:tc>
        <w:tc>
          <w:tcPr>
            <w:tcW w:w="444" w:type="dxa"/>
            <w:noWrap w:val="0"/>
            <w:tcMar>
              <w:top w:w="5" w:type="dxa"/>
              <w:left w:w="113" w:type="dxa"/>
              <w:bottom w:w="5" w:type="dxa"/>
              <w:right w:w="113" w:type="dxa"/>
            </w:tcMar>
            <w:vAlign w:val="center"/>
          </w:tcPr>
          <w:p>
            <w:pPr>
              <w:rPr>
                <w:b w:val="0"/>
                <w:bCs w:val="0"/>
                <w:i w:val="0"/>
                <w:iCs w:val="0"/>
                <w:smallCaps w:val="0"/>
                <w:color w:val="000000"/>
              </w:rPr>
            </w:pPr>
            <w:r>
              <w:rPr>
                <w:b w:val="0"/>
                <w:bCs w:val="0"/>
                <w:i w:val="0"/>
                <w:iCs w:val="0"/>
                <w:smallCaps w:val="0"/>
                <w:color w:val="000000"/>
              </w:rPr>
              <w:t> </w:t>
            </w:r>
          </w:p>
        </w:tc>
        <w:tc>
          <w:tcPr>
            <w:tcW w:w="9481" w:type="dxa"/>
            <w:gridSpan w:val="11"/>
            <w:noWrap w:val="0"/>
            <w:tcMar>
              <w:top w:w="5" w:type="dxa"/>
              <w:left w:w="113" w:type="dxa"/>
              <w:bottom w:w="5" w:type="dxa"/>
              <w:right w:w="113" w:type="dxa"/>
            </w:tcMar>
            <w:vAlign w:val="center"/>
          </w:tcPr>
          <w:p>
            <w:pPr>
              <w:pStyle w:val="6"/>
              <w:jc w:val="left"/>
              <w:rPr>
                <w:b w:val="0"/>
                <w:bCs w:val="0"/>
                <w:i w:val="0"/>
                <w:iCs w:val="0"/>
                <w:smallCaps w:val="0"/>
                <w:color w:val="000000"/>
              </w:rPr>
            </w:pPr>
            <w:r>
              <w:rPr>
                <w:rFonts w:ascii="宋体" w:hAnsi="宋体" w:eastAsia="宋体" w:cs="宋体"/>
                <w:b w:val="0"/>
                <w:bCs w:val="0"/>
                <w:i w:val="0"/>
                <w:iCs w:val="0"/>
                <w:smallCaps w:val="0"/>
                <w:color w:val="000000"/>
                <w:sz w:val="20"/>
                <w:szCs w:val="20"/>
                <w:lang w:val="en-US" w:eastAsia="en-US"/>
              </w:rPr>
              <w:t>2.</w:t>
            </w:r>
            <w:r>
              <w:rPr>
                <w:rFonts w:ascii="宋体" w:hAnsi="宋体" w:eastAsia="宋体" w:cs="宋体"/>
                <w:b w:val="0"/>
                <w:bCs w:val="0"/>
                <w:i w:val="0"/>
                <w:iCs w:val="0"/>
                <w:smallCaps w:val="0"/>
                <w:color w:val="000000"/>
                <w:sz w:val="20"/>
                <w:szCs w:val="20"/>
              </w:rPr>
              <w:t>固定资产＝房屋构筑物＋车辆＋单价</w:t>
            </w:r>
            <w:r>
              <w:rPr>
                <w:rFonts w:ascii="宋体" w:hAnsi="宋体" w:eastAsia="宋体" w:cs="宋体"/>
                <w:b w:val="0"/>
                <w:bCs w:val="0"/>
                <w:i w:val="0"/>
                <w:iCs w:val="0"/>
                <w:smallCaps w:val="0"/>
                <w:color w:val="000000"/>
                <w:sz w:val="20"/>
                <w:szCs w:val="20"/>
                <w:lang w:val="en-US" w:eastAsia="en-US"/>
              </w:rPr>
              <w:t>200</w:t>
            </w:r>
            <w:r>
              <w:rPr>
                <w:rFonts w:ascii="宋体" w:hAnsi="宋体" w:eastAsia="宋体" w:cs="宋体"/>
                <w:b w:val="0"/>
                <w:bCs w:val="0"/>
                <w:i w:val="0"/>
                <w:iCs w:val="0"/>
                <w:smallCaps w:val="0"/>
                <w:color w:val="000000"/>
                <w:sz w:val="20"/>
                <w:szCs w:val="20"/>
              </w:rPr>
              <w:t>万元以上大型设备＋其他固定资产</w:t>
            </w:r>
          </w:p>
        </w:tc>
        <w:tc>
          <w:tcPr>
            <w:tcW w:w="156" w:type="dxa"/>
            <w:noWrap w:val="0"/>
            <w:tcMar>
              <w:top w:w="5" w:type="dxa"/>
              <w:left w:w="5" w:type="dxa"/>
              <w:bottom w:w="5" w:type="dxa"/>
              <w:right w:w="5" w:type="dxa"/>
            </w:tcMar>
            <w:vAlign w:val="center"/>
          </w:tcPr>
          <w:p>
            <w:pPr>
              <w:rPr>
                <w:b w:val="0"/>
                <w:bCs w:val="0"/>
                <w:i w:val="0"/>
                <w:iCs w:val="0"/>
                <w:smallCaps w:val="0"/>
                <w:color w:val="000000"/>
              </w:rPr>
            </w:pPr>
            <w:r>
              <w:rPr>
                <w:b w:val="0"/>
                <w:bCs w:val="0"/>
                <w:i w:val="0"/>
                <w:iCs w:val="0"/>
                <w:smallCaps w:val="0"/>
                <w:color w:val="000000"/>
              </w:rPr>
              <w:t> </w:t>
            </w:r>
          </w:p>
        </w:tc>
      </w:tr>
      <w:tr>
        <w:tblPrEx>
          <w:tblCellMar>
            <w:top w:w="0" w:type="dxa"/>
            <w:left w:w="0" w:type="dxa"/>
            <w:bottom w:w="0" w:type="dxa"/>
            <w:right w:w="0" w:type="dxa"/>
          </w:tblCellMar>
        </w:tblPrEx>
        <w:trPr>
          <w:trHeight w:val="285" w:hRule="atLeast"/>
          <w:jc w:val="center"/>
        </w:trPr>
        <w:tc>
          <w:tcPr>
            <w:tcW w:w="637" w:type="dxa"/>
            <w:noWrap w:val="0"/>
            <w:tcMar>
              <w:top w:w="5" w:type="dxa"/>
              <w:left w:w="113" w:type="dxa"/>
              <w:bottom w:w="5" w:type="dxa"/>
              <w:right w:w="113" w:type="dxa"/>
            </w:tcMar>
            <w:vAlign w:val="center"/>
          </w:tcPr>
          <w:p>
            <w:pPr>
              <w:rPr>
                <w:b w:val="0"/>
                <w:bCs w:val="0"/>
                <w:i w:val="0"/>
                <w:iCs w:val="0"/>
                <w:smallCaps w:val="0"/>
                <w:color w:val="000000"/>
              </w:rPr>
            </w:pPr>
            <w:r>
              <w:rPr>
                <w:b w:val="0"/>
                <w:bCs w:val="0"/>
                <w:i w:val="0"/>
                <w:iCs w:val="0"/>
                <w:smallCaps w:val="0"/>
                <w:color w:val="000000"/>
              </w:rPr>
              <w:t> </w:t>
            </w:r>
          </w:p>
        </w:tc>
        <w:tc>
          <w:tcPr>
            <w:tcW w:w="444" w:type="dxa"/>
            <w:noWrap w:val="0"/>
            <w:tcMar>
              <w:top w:w="5" w:type="dxa"/>
              <w:left w:w="113" w:type="dxa"/>
              <w:bottom w:w="5" w:type="dxa"/>
              <w:right w:w="113" w:type="dxa"/>
            </w:tcMar>
            <w:vAlign w:val="center"/>
          </w:tcPr>
          <w:p>
            <w:pPr>
              <w:rPr>
                <w:b w:val="0"/>
                <w:bCs w:val="0"/>
                <w:i w:val="0"/>
                <w:iCs w:val="0"/>
                <w:smallCaps w:val="0"/>
                <w:color w:val="000000"/>
              </w:rPr>
            </w:pPr>
            <w:r>
              <w:rPr>
                <w:b w:val="0"/>
                <w:bCs w:val="0"/>
                <w:i w:val="0"/>
                <w:iCs w:val="0"/>
                <w:smallCaps w:val="0"/>
                <w:color w:val="000000"/>
              </w:rPr>
              <w:t> </w:t>
            </w:r>
          </w:p>
        </w:tc>
        <w:tc>
          <w:tcPr>
            <w:tcW w:w="9481" w:type="dxa"/>
            <w:gridSpan w:val="11"/>
            <w:noWrap w:val="0"/>
            <w:tcMar>
              <w:top w:w="5" w:type="dxa"/>
              <w:left w:w="113" w:type="dxa"/>
              <w:bottom w:w="5" w:type="dxa"/>
              <w:right w:w="113" w:type="dxa"/>
            </w:tcMar>
            <w:vAlign w:val="center"/>
          </w:tcPr>
          <w:p>
            <w:pPr>
              <w:pStyle w:val="6"/>
              <w:jc w:val="left"/>
              <w:rPr>
                <w:b w:val="0"/>
                <w:bCs w:val="0"/>
                <w:i w:val="0"/>
                <w:iCs w:val="0"/>
                <w:smallCaps w:val="0"/>
                <w:color w:val="000000"/>
              </w:rPr>
            </w:pPr>
            <w:r>
              <w:rPr>
                <w:rFonts w:ascii="宋体" w:hAnsi="宋体" w:eastAsia="宋体" w:cs="宋体"/>
                <w:b w:val="0"/>
                <w:bCs w:val="0"/>
                <w:i w:val="0"/>
                <w:iCs w:val="0"/>
                <w:smallCaps w:val="0"/>
                <w:color w:val="000000"/>
                <w:sz w:val="20"/>
                <w:szCs w:val="20"/>
                <w:lang w:val="en-US" w:eastAsia="en-US"/>
              </w:rPr>
              <w:t>3.</w:t>
            </w:r>
            <w:r>
              <w:rPr>
                <w:rFonts w:ascii="宋体" w:hAnsi="宋体" w:eastAsia="宋体" w:cs="宋体"/>
                <w:b w:val="0"/>
                <w:bCs w:val="0"/>
                <w:i w:val="0"/>
                <w:iCs w:val="0"/>
                <w:smallCaps w:val="0"/>
                <w:color w:val="000000"/>
                <w:sz w:val="20"/>
                <w:szCs w:val="20"/>
              </w:rPr>
              <w:t>填报金额为资产“账面原值”。</w:t>
            </w:r>
          </w:p>
        </w:tc>
        <w:tc>
          <w:tcPr>
            <w:tcW w:w="156" w:type="dxa"/>
            <w:noWrap w:val="0"/>
            <w:tcMar>
              <w:top w:w="5" w:type="dxa"/>
              <w:left w:w="5" w:type="dxa"/>
              <w:bottom w:w="5" w:type="dxa"/>
              <w:right w:w="5" w:type="dxa"/>
            </w:tcMar>
            <w:vAlign w:val="center"/>
          </w:tcPr>
          <w:p>
            <w:pPr>
              <w:rPr>
                <w:b w:val="0"/>
                <w:bCs w:val="0"/>
                <w:i w:val="0"/>
                <w:iCs w:val="0"/>
                <w:smallCaps w:val="0"/>
                <w:color w:val="000000"/>
              </w:rPr>
            </w:pPr>
            <w:r>
              <w:rPr>
                <w:b w:val="0"/>
                <w:bCs w:val="0"/>
                <w:i w:val="0"/>
                <w:iCs w:val="0"/>
                <w:smallCaps w:val="0"/>
                <w:color w:val="000000"/>
              </w:rPr>
              <w:t> </w:t>
            </w:r>
          </w:p>
        </w:tc>
      </w:tr>
    </w:tbl>
    <w:p>
      <w:pPr>
        <w:pStyle w:val="6"/>
        <w:spacing w:before="240" w:after="240" w:line="590" w:lineRule="atLeast"/>
        <w:jc w:val="left"/>
      </w:pPr>
      <w:r>
        <w:rPr>
          <w:rFonts w:ascii="黑体" w:hAnsi="黑体" w:eastAsia="黑体" w:cs="黑体"/>
          <w:sz w:val="30"/>
          <w:szCs w:val="30"/>
        </w:rPr>
        <w:t>三、政府采购支出情况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jc w:val="left"/>
        <w:rPr>
          <w:rFonts w:hint="eastAsia" w:ascii="仿宋" w:hAnsi="仿宋" w:eastAsia="仿宋" w:cs="仿宋"/>
          <w:b w:val="0"/>
          <w:bCs w:val="0"/>
          <w:i w:val="0"/>
          <w:iCs w:val="0"/>
          <w:caps w:val="0"/>
          <w:color w:val="000000" w:themeColor="text1"/>
          <w:spacing w:val="0"/>
          <w:sz w:val="30"/>
          <w:szCs w:val="30"/>
          <w14:textFill>
            <w14:solidFill>
              <w14:schemeClr w14:val="tx1"/>
            </w14:solidFill>
          </w14:textFill>
        </w:rPr>
      </w:pPr>
      <w:r>
        <w:rPr>
          <w:rFonts w:hint="eastAsia" w:ascii="仿宋" w:hAnsi="仿宋" w:eastAsia="仿宋" w:cs="仿宋"/>
          <w:i w:val="0"/>
          <w:iCs w:val="0"/>
          <w:caps w:val="0"/>
          <w:color w:val="000000"/>
          <w:spacing w:val="0"/>
          <w:kern w:val="0"/>
          <w:sz w:val="30"/>
          <w:szCs w:val="30"/>
          <w:shd w:val="clear" w:fill="FFFFFF"/>
          <w:lang w:val="en-US" w:eastAsia="zh-CN" w:bidi="ar"/>
        </w:rPr>
        <w:t>2021年度，部门政府采购支出总额</w:t>
      </w:r>
      <w:r>
        <w:rPr>
          <w:rFonts w:hint="eastAsia" w:ascii="仿宋" w:hAnsi="仿宋" w:eastAsia="仿宋" w:cs="仿宋"/>
          <w:b w:val="0"/>
          <w:bCs w:val="0"/>
          <w:i w:val="0"/>
          <w:iCs w:val="0"/>
          <w:caps w:val="0"/>
          <w:color w:val="000000" w:themeColor="text1"/>
          <w:spacing w:val="0"/>
          <w:kern w:val="0"/>
          <w:sz w:val="30"/>
          <w:szCs w:val="30"/>
          <w:shd w:val="clear" w:fill="FFFFFF"/>
          <w:lang w:val="en-US" w:eastAsia="zh-CN" w:bidi="ar"/>
          <w14:textFill>
            <w14:solidFill>
              <w14:schemeClr w14:val="tx1"/>
            </w14:solidFill>
          </w14:textFill>
        </w:rPr>
        <w:t>12</w:t>
      </w:r>
      <w:r>
        <w:rPr>
          <w:rFonts w:ascii="仿宋" w:hAnsi="仿宋" w:eastAsia="仿宋" w:cs="仿宋"/>
          <w:sz w:val="30"/>
          <w:szCs w:val="30"/>
        </w:rPr>
        <w:t>,</w:t>
      </w:r>
      <w:r>
        <w:rPr>
          <w:rFonts w:hint="eastAsia" w:ascii="仿宋" w:hAnsi="仿宋" w:eastAsia="仿宋" w:cs="仿宋"/>
          <w:b w:val="0"/>
          <w:bCs w:val="0"/>
          <w:i w:val="0"/>
          <w:iCs w:val="0"/>
          <w:caps w:val="0"/>
          <w:color w:val="000000" w:themeColor="text1"/>
          <w:spacing w:val="0"/>
          <w:kern w:val="0"/>
          <w:sz w:val="30"/>
          <w:szCs w:val="30"/>
          <w:shd w:val="clear" w:fill="FFFFFF"/>
          <w:lang w:val="en-US" w:eastAsia="zh-CN" w:bidi="ar"/>
          <w14:textFill>
            <w14:solidFill>
              <w14:schemeClr w14:val="tx1"/>
            </w14:solidFill>
          </w14:textFill>
        </w:rPr>
        <w:t>335.12万元，其中：政府采购货物支出10</w:t>
      </w:r>
      <w:r>
        <w:rPr>
          <w:rFonts w:ascii="仿宋" w:hAnsi="仿宋" w:eastAsia="仿宋" w:cs="仿宋"/>
          <w:sz w:val="30"/>
          <w:szCs w:val="30"/>
        </w:rPr>
        <w:t>,</w:t>
      </w:r>
      <w:r>
        <w:rPr>
          <w:rFonts w:hint="eastAsia" w:ascii="仿宋" w:hAnsi="仿宋" w:eastAsia="仿宋" w:cs="仿宋"/>
          <w:b w:val="0"/>
          <w:bCs w:val="0"/>
          <w:i w:val="0"/>
          <w:iCs w:val="0"/>
          <w:caps w:val="0"/>
          <w:color w:val="000000" w:themeColor="text1"/>
          <w:spacing w:val="0"/>
          <w:kern w:val="0"/>
          <w:sz w:val="30"/>
          <w:szCs w:val="30"/>
          <w:shd w:val="clear" w:fill="FFFFFF"/>
          <w:lang w:val="en-US" w:eastAsia="zh-CN" w:bidi="ar"/>
          <w14:textFill>
            <w14:solidFill>
              <w14:schemeClr w14:val="tx1"/>
            </w14:solidFill>
          </w14:textFill>
        </w:rPr>
        <w:t>029.25万元；政府采购工程支出0万元；政府采购服务支出2</w:t>
      </w:r>
      <w:r>
        <w:rPr>
          <w:rFonts w:ascii="仿宋" w:hAnsi="仿宋" w:eastAsia="仿宋" w:cs="仿宋"/>
          <w:sz w:val="30"/>
          <w:szCs w:val="30"/>
        </w:rPr>
        <w:t>,</w:t>
      </w:r>
      <w:r>
        <w:rPr>
          <w:rFonts w:hint="eastAsia" w:ascii="仿宋" w:hAnsi="仿宋" w:eastAsia="仿宋" w:cs="仿宋"/>
          <w:b w:val="0"/>
          <w:bCs w:val="0"/>
          <w:i w:val="0"/>
          <w:iCs w:val="0"/>
          <w:caps w:val="0"/>
          <w:color w:val="000000" w:themeColor="text1"/>
          <w:spacing w:val="0"/>
          <w:kern w:val="0"/>
          <w:sz w:val="30"/>
          <w:szCs w:val="30"/>
          <w:shd w:val="clear" w:fill="FFFFFF"/>
          <w:lang w:val="en-US" w:eastAsia="zh-CN" w:bidi="ar"/>
          <w14:textFill>
            <w14:solidFill>
              <w14:schemeClr w14:val="tx1"/>
            </w14:solidFill>
          </w14:textFill>
        </w:rPr>
        <w:t>305.87万元。授予中小企业合同金额9</w:t>
      </w:r>
      <w:r>
        <w:rPr>
          <w:rFonts w:ascii="仿宋" w:hAnsi="仿宋" w:eastAsia="仿宋" w:cs="仿宋"/>
          <w:sz w:val="30"/>
          <w:szCs w:val="30"/>
        </w:rPr>
        <w:t>,</w:t>
      </w:r>
      <w:r>
        <w:rPr>
          <w:rFonts w:hint="eastAsia" w:ascii="仿宋" w:hAnsi="仿宋" w:eastAsia="仿宋" w:cs="仿宋"/>
          <w:b w:val="0"/>
          <w:bCs w:val="0"/>
          <w:i w:val="0"/>
          <w:iCs w:val="0"/>
          <w:caps w:val="0"/>
          <w:color w:val="000000" w:themeColor="text1"/>
          <w:spacing w:val="0"/>
          <w:kern w:val="0"/>
          <w:sz w:val="30"/>
          <w:szCs w:val="30"/>
          <w:shd w:val="clear" w:fill="FFFFFF"/>
          <w:lang w:val="en-US" w:eastAsia="zh-CN" w:bidi="ar"/>
          <w14:textFill>
            <w14:solidFill>
              <w14:schemeClr w14:val="tx1"/>
            </w14:solidFill>
          </w14:textFill>
        </w:rPr>
        <w:t>326.6万元，占政府采购支出总额的75.61%。</w:t>
      </w:r>
    </w:p>
    <w:p>
      <w:pPr>
        <w:pStyle w:val="6"/>
        <w:spacing w:before="240" w:after="240" w:line="590" w:lineRule="atLeast"/>
        <w:ind w:firstLine="600"/>
        <w:jc w:val="left"/>
      </w:pPr>
      <w:r>
        <w:rPr>
          <w:rFonts w:ascii="黑体" w:hAnsi="黑体" w:eastAsia="黑体" w:cs="黑体"/>
          <w:color w:val="000000"/>
          <w:sz w:val="30"/>
          <w:szCs w:val="30"/>
        </w:rPr>
        <w:t>四、</w:t>
      </w:r>
      <w:r>
        <w:rPr>
          <w:rFonts w:ascii="黑体" w:hAnsi="黑体" w:eastAsia="黑体" w:cs="黑体"/>
          <w:sz w:val="30"/>
          <w:szCs w:val="30"/>
        </w:rPr>
        <w:t>部门绩效自评情况</w:t>
      </w:r>
    </w:p>
    <w:p>
      <w:pPr>
        <w:pStyle w:val="6"/>
        <w:spacing w:before="240" w:after="240" w:line="590" w:lineRule="atLeast"/>
        <w:ind w:firstLine="600"/>
        <w:jc w:val="left"/>
        <w:rPr>
          <w:rFonts w:ascii="仿宋" w:hAnsi="仿宋" w:eastAsia="仿宋" w:cs="仿宋"/>
          <w:sz w:val="30"/>
          <w:szCs w:val="30"/>
        </w:rPr>
      </w:pPr>
      <w:r>
        <w:rPr>
          <w:rFonts w:hint="eastAsia" w:ascii="仿宋" w:hAnsi="仿宋" w:eastAsia="仿宋" w:cs="仿宋"/>
          <w:sz w:val="30"/>
          <w:szCs w:val="30"/>
          <w:lang w:eastAsia="zh-CN"/>
        </w:rPr>
        <w:t>昆明医科大学第一附属医院</w:t>
      </w:r>
      <w:r>
        <w:rPr>
          <w:rFonts w:hint="eastAsia" w:ascii="仿宋" w:hAnsi="仿宋" w:eastAsia="仿宋" w:cs="仿宋"/>
          <w:sz w:val="30"/>
          <w:szCs w:val="30"/>
          <w:lang w:val="en-US" w:eastAsia="zh-CN"/>
        </w:rPr>
        <w:t>2021年已按要求开展</w:t>
      </w:r>
      <w:r>
        <w:rPr>
          <w:rFonts w:ascii="仿宋" w:hAnsi="仿宋" w:eastAsia="仿宋" w:cs="仿宋"/>
          <w:sz w:val="30"/>
          <w:szCs w:val="30"/>
        </w:rPr>
        <w:t>部门绩效自评</w:t>
      </w:r>
      <w:r>
        <w:rPr>
          <w:rFonts w:hint="eastAsia" w:ascii="仿宋" w:hAnsi="仿宋" w:eastAsia="仿宋" w:cs="仿宋"/>
          <w:sz w:val="30"/>
          <w:szCs w:val="30"/>
          <w:lang w:eastAsia="zh-CN"/>
        </w:rPr>
        <w:t>项目一个，项目名称“设备购置人才培养基础建设等项目补助经费”，项目支出</w:t>
      </w:r>
      <w:r>
        <w:rPr>
          <w:rFonts w:hint="eastAsia" w:ascii="仿宋" w:hAnsi="仿宋" w:eastAsia="仿宋" w:cs="仿宋"/>
          <w:sz w:val="30"/>
          <w:szCs w:val="30"/>
          <w:lang w:val="en-US" w:eastAsia="zh-CN"/>
        </w:rPr>
        <w:t>44</w:t>
      </w:r>
      <w:r>
        <w:rPr>
          <w:rFonts w:ascii="仿宋" w:hAnsi="仿宋" w:eastAsia="仿宋" w:cs="仿宋"/>
          <w:sz w:val="30"/>
          <w:szCs w:val="30"/>
        </w:rPr>
        <w:t>,</w:t>
      </w:r>
      <w:r>
        <w:rPr>
          <w:rFonts w:hint="eastAsia" w:ascii="仿宋" w:hAnsi="仿宋" w:eastAsia="仿宋" w:cs="仿宋"/>
          <w:sz w:val="30"/>
          <w:szCs w:val="30"/>
          <w:lang w:val="en-US" w:eastAsia="zh-CN"/>
        </w:rPr>
        <w:t>655.83万元，项目评分99.92分，自评结果优。因我单位为二级预算单位，无整体支出绩效自评报告及整体支出绩效自评表。</w:t>
      </w:r>
      <w:r>
        <w:rPr>
          <w:rFonts w:ascii="仿宋" w:hAnsi="仿宋" w:eastAsia="仿宋" w:cs="仿宋"/>
          <w:sz w:val="30"/>
          <w:szCs w:val="30"/>
        </w:rPr>
        <w:t>情况详见附表</w:t>
      </w:r>
    </w:p>
    <w:p>
      <w:pPr>
        <w:pStyle w:val="6"/>
        <w:spacing w:before="240" w:after="240" w:line="590" w:lineRule="atLeast"/>
        <w:ind w:firstLine="600"/>
        <w:jc w:val="left"/>
        <w:rPr>
          <w:rFonts w:hint="eastAsia" w:eastAsia="黑体"/>
          <w:lang w:eastAsia="zh-CN"/>
        </w:rPr>
      </w:pPr>
      <w:r>
        <w:rPr>
          <w:rFonts w:ascii="黑体" w:hAnsi="黑体" w:eastAsia="黑体" w:cs="黑体"/>
          <w:sz w:val="30"/>
          <w:szCs w:val="30"/>
        </w:rPr>
        <w:t>五、其他重要事项情况说明</w:t>
      </w:r>
    </w:p>
    <w:p>
      <w:pPr>
        <w:pStyle w:val="6"/>
        <w:spacing w:before="240" w:after="240" w:line="590" w:lineRule="atLeast"/>
        <w:ind w:firstLine="600"/>
        <w:jc w:val="left"/>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eastAsia="zh-CN"/>
          <w14:textFill>
            <w14:solidFill>
              <w14:schemeClr w14:val="tx1"/>
            </w14:solidFill>
          </w14:textFill>
        </w:rPr>
        <w:t>昆明医科大学第一附属医院</w:t>
      </w:r>
      <w:r>
        <w:rPr>
          <w:rFonts w:hint="eastAsia" w:ascii="仿宋" w:hAnsi="仿宋" w:eastAsia="仿宋" w:cs="仿宋"/>
          <w:color w:val="000000" w:themeColor="text1"/>
          <w:sz w:val="30"/>
          <w:szCs w:val="30"/>
          <w:lang w:val="en-US" w:eastAsia="zh-CN"/>
          <w14:textFill>
            <w14:solidFill>
              <w14:schemeClr w14:val="tx1"/>
            </w14:solidFill>
          </w14:textFill>
        </w:rPr>
        <w:t>2021年度无其他重要事项情况说明。</w:t>
      </w:r>
    </w:p>
    <w:p>
      <w:pPr>
        <w:pStyle w:val="6"/>
        <w:spacing w:before="240" w:after="240" w:line="590" w:lineRule="atLeast"/>
        <w:ind w:firstLine="600"/>
        <w:jc w:val="left"/>
      </w:pPr>
      <w:r>
        <w:rPr>
          <w:rFonts w:ascii="黑体" w:hAnsi="黑体" w:eastAsia="黑体" w:cs="黑体"/>
          <w:sz w:val="30"/>
          <w:szCs w:val="30"/>
        </w:rPr>
        <w:t>六、相关口径说明</w:t>
      </w:r>
    </w:p>
    <w:p>
      <w:pPr>
        <w:pStyle w:val="6"/>
        <w:spacing w:before="240" w:after="240" w:line="590" w:lineRule="atLeast"/>
        <w:ind w:firstLine="600"/>
        <w:jc w:val="left"/>
        <w:rPr>
          <w:rFonts w:hint="eastAsia" w:ascii="仿宋" w:hAnsi="仿宋" w:eastAsia="仿宋" w:cs="仿宋"/>
          <w:sz w:val="30"/>
          <w:szCs w:val="30"/>
        </w:rPr>
      </w:pPr>
      <w:r>
        <w:rPr>
          <w:rFonts w:hint="eastAsia" w:ascii="仿宋" w:hAnsi="仿宋" w:eastAsia="仿宋" w:cs="仿宋"/>
          <w:sz w:val="30"/>
          <w:szCs w:val="30"/>
        </w:rPr>
        <w:t>（一）基本支出中人员经费包括工资福利支出和对个人和家庭的补助，公用经费包括商品和服务支出、资本性支出等人员经费以外的支出。</w:t>
      </w:r>
    </w:p>
    <w:p>
      <w:pPr>
        <w:pStyle w:val="6"/>
        <w:spacing w:before="240" w:after="240" w:line="590" w:lineRule="atLeast"/>
        <w:ind w:firstLine="600"/>
        <w:jc w:val="left"/>
        <w:rPr>
          <w:rFonts w:hint="eastAsia" w:ascii="仿宋" w:hAnsi="仿宋" w:eastAsia="仿宋" w:cs="仿宋"/>
          <w:sz w:val="30"/>
          <w:szCs w:val="30"/>
        </w:rPr>
      </w:pPr>
      <w:r>
        <w:rPr>
          <w:rFonts w:hint="eastAsia" w:ascii="仿宋" w:hAnsi="仿宋" w:eastAsia="仿宋" w:cs="仿宋"/>
          <w:sz w:val="30"/>
          <w:szCs w:val="30"/>
        </w:rPr>
        <w:t>（二）机关运行经费指行政单位和参照公务员法管理的事业单位使用一般公共预算财政拨款安排的基本支出中的公用经费支出。</w:t>
      </w:r>
    </w:p>
    <w:p>
      <w:pPr>
        <w:pStyle w:val="6"/>
        <w:spacing w:before="240" w:after="240" w:line="590" w:lineRule="atLeast"/>
        <w:ind w:firstLine="600"/>
        <w:jc w:val="left"/>
        <w:rPr>
          <w:rFonts w:hint="eastAsia" w:ascii="仿宋" w:hAnsi="仿宋" w:eastAsia="仿宋" w:cs="仿宋"/>
          <w:sz w:val="30"/>
          <w:szCs w:val="30"/>
        </w:rPr>
      </w:pPr>
      <w:r>
        <w:rPr>
          <w:rFonts w:hint="eastAsia" w:ascii="仿宋" w:hAnsi="仿宋" w:eastAsia="仿宋" w:cs="仿宋"/>
          <w:sz w:val="30"/>
          <w:szCs w:val="30"/>
        </w:rPr>
        <w:t>（三）按照党中央、国务院有关文件及部门预算管理有关规定，“三公”经费包括因公出国（境）费、公务用车购置及运行维护费、公务接待费。其中：因公出国（境）费，指单位公务出国（境）的国际旅费、国外城市间交通费、住宿费、伙食费、培训费、公杂费等支出；公务用车购置费，指公务用车购置支出（含车辆购置税、牌照费）；公务用车运行维护费，指单位按规定保留的公务用车燃料费、维修费、过桥过路费、保险费、安全奖励费用等支出；公务用车指用于履行公务的机动车辆，包括省部级干部专车、一般公务用车和执法执勤用车；公务接待费，指单位按规定开支的各类公务接待（含外宾接待）费用。</w:t>
      </w:r>
    </w:p>
    <w:p>
      <w:pPr>
        <w:pStyle w:val="6"/>
        <w:spacing w:before="240" w:after="240" w:line="590" w:lineRule="atLeast"/>
        <w:ind w:firstLine="600"/>
        <w:jc w:val="left"/>
        <w:rPr>
          <w:rFonts w:hint="eastAsia" w:ascii="仿宋" w:hAnsi="仿宋" w:eastAsia="仿宋" w:cs="仿宋"/>
          <w:sz w:val="30"/>
          <w:szCs w:val="30"/>
        </w:rPr>
      </w:pPr>
      <w:r>
        <w:rPr>
          <w:rFonts w:hint="eastAsia" w:ascii="仿宋" w:hAnsi="仿宋" w:eastAsia="仿宋" w:cs="仿宋"/>
          <w:sz w:val="30"/>
          <w:szCs w:val="30"/>
        </w:rPr>
        <w:t>（四）“三公”经费决算数：指各部门（含下属单位）当年通过本级财政一般公共预算财政拨款和以前年度一般公共预算财政拨款结转结余资金安排的因公出国（境）费、公务用车购置及运行维护费和公务接待费支出数（包括基本支出和项目支出）。</w:t>
      </w:r>
    </w:p>
    <w:p>
      <w:pPr>
        <w:pStyle w:val="6"/>
        <w:spacing w:before="240" w:after="240" w:line="590" w:lineRule="atLeast"/>
        <w:jc w:val="center"/>
      </w:pPr>
      <w:r>
        <w:rPr>
          <w:rFonts w:ascii="黑体" w:hAnsi="黑体" w:eastAsia="黑体" w:cs="黑体"/>
          <w:sz w:val="32"/>
          <w:szCs w:val="32"/>
        </w:rPr>
        <w:t>第五部分 名词解释</w:t>
      </w:r>
    </w:p>
    <w:p>
      <w:pPr>
        <w:widowControl w:val="0"/>
        <w:autoSpaceDE w:val="0"/>
        <w:autoSpaceDN w:val="0"/>
        <w:adjustRightInd w:val="0"/>
        <w:snapToGrid w:val="0"/>
        <w:spacing w:beforeLines="50" w:afterLines="50" w:line="520" w:lineRule="exact"/>
        <w:ind w:firstLine="600" w:firstLineChars="200"/>
        <w:contextualSpacing/>
        <w:jc w:val="both"/>
        <w:rPr>
          <w:rFonts w:hint="eastAsia" w:ascii="仿宋" w:hAnsi="仿宋" w:eastAsia="仿宋" w:cs="仿宋"/>
          <w:kern w:val="2"/>
          <w:sz w:val="30"/>
          <w:szCs w:val="30"/>
          <w:shd w:val="clear" w:color="auto" w:fill="FFFFFF"/>
        </w:rPr>
      </w:pPr>
      <w:r>
        <w:rPr>
          <w:rFonts w:hint="eastAsia" w:ascii="仿宋" w:hAnsi="仿宋" w:eastAsia="仿宋" w:cs="仿宋"/>
          <w:kern w:val="2"/>
          <w:sz w:val="30"/>
          <w:szCs w:val="30"/>
          <w:shd w:val="clear" w:color="auto" w:fill="FFFFFF"/>
        </w:rPr>
        <w:t>（一）一般公共预算：是对以税收为主体的财政收入，安排用于保障和改善民生、推动经济社会发展、维护国家安全、维持国家机构正常运转等方面的收支预算。主要包括本级财力、专项收入、执法办案补助、收费成本补偿、财政专户管理的教育收费和国有资源（资产）有偿使用。</w:t>
      </w:r>
    </w:p>
    <w:p>
      <w:pPr>
        <w:widowControl w:val="0"/>
        <w:autoSpaceDE w:val="0"/>
        <w:autoSpaceDN w:val="0"/>
        <w:adjustRightInd w:val="0"/>
        <w:snapToGrid w:val="0"/>
        <w:spacing w:beforeLines="50" w:afterLines="50" w:line="520" w:lineRule="exact"/>
        <w:ind w:firstLine="600" w:firstLineChars="200"/>
        <w:contextualSpacing/>
        <w:jc w:val="both"/>
        <w:rPr>
          <w:rFonts w:hint="eastAsia" w:ascii="仿宋" w:hAnsi="仿宋" w:eastAsia="仿宋" w:cs="仿宋"/>
          <w:kern w:val="2"/>
          <w:sz w:val="30"/>
          <w:szCs w:val="30"/>
          <w:shd w:val="clear" w:color="auto" w:fill="FFFFFF"/>
        </w:rPr>
      </w:pPr>
      <w:r>
        <w:rPr>
          <w:rFonts w:hint="eastAsia" w:ascii="仿宋" w:hAnsi="仿宋" w:eastAsia="仿宋" w:cs="仿宋"/>
          <w:kern w:val="2"/>
          <w:sz w:val="30"/>
          <w:szCs w:val="30"/>
          <w:shd w:val="clear" w:color="auto" w:fill="FFFFFF"/>
        </w:rPr>
        <w:t>（二）政府性基金预算：是对依照法律、行政法规的规定在一定期限内向特定对象征收、收取或者以其他方式筹集的资金，专项用于特定公共事业发展的收支预算。</w:t>
      </w:r>
    </w:p>
    <w:p>
      <w:pPr>
        <w:widowControl w:val="0"/>
        <w:autoSpaceDE w:val="0"/>
        <w:autoSpaceDN w:val="0"/>
        <w:adjustRightInd w:val="0"/>
        <w:snapToGrid w:val="0"/>
        <w:spacing w:beforeLines="50" w:afterLines="50" w:line="520" w:lineRule="exact"/>
        <w:ind w:firstLine="600" w:firstLineChars="200"/>
        <w:contextualSpacing/>
        <w:jc w:val="both"/>
        <w:rPr>
          <w:rFonts w:hint="eastAsia" w:ascii="仿宋" w:hAnsi="仿宋" w:eastAsia="仿宋" w:cs="仿宋"/>
          <w:kern w:val="2"/>
          <w:sz w:val="30"/>
          <w:szCs w:val="30"/>
          <w:shd w:val="clear" w:color="auto" w:fill="FFFFFF"/>
        </w:rPr>
      </w:pPr>
      <w:r>
        <w:rPr>
          <w:rFonts w:hint="eastAsia" w:ascii="仿宋" w:hAnsi="仿宋" w:eastAsia="仿宋" w:cs="仿宋"/>
          <w:kern w:val="2"/>
          <w:sz w:val="30"/>
          <w:szCs w:val="30"/>
          <w:shd w:val="clear" w:color="auto" w:fill="FFFFFF"/>
        </w:rPr>
        <w:t>（三）参公管理事业单位：参照《公务员法》第一百零六条：法律、法规授权的具有公共事务管理职能的事业单位中除工勤人员以外的工作人员，经批准参照本法进行管理的事业单位。</w:t>
      </w:r>
    </w:p>
    <w:p>
      <w:pPr>
        <w:widowControl w:val="0"/>
        <w:autoSpaceDE w:val="0"/>
        <w:autoSpaceDN w:val="0"/>
        <w:adjustRightInd w:val="0"/>
        <w:snapToGrid w:val="0"/>
        <w:spacing w:beforeLines="50" w:afterLines="50" w:line="520" w:lineRule="exact"/>
        <w:ind w:firstLine="600" w:firstLineChars="200"/>
        <w:contextualSpacing/>
        <w:jc w:val="both"/>
        <w:rPr>
          <w:rFonts w:hint="eastAsia" w:ascii="仿宋" w:hAnsi="仿宋" w:eastAsia="仿宋" w:cs="仿宋"/>
          <w:kern w:val="2"/>
          <w:sz w:val="30"/>
          <w:szCs w:val="30"/>
          <w:shd w:val="clear" w:color="auto" w:fill="FFFFFF"/>
          <w:lang w:eastAsia="zh-CN"/>
        </w:rPr>
      </w:pPr>
      <w:r>
        <w:rPr>
          <w:rFonts w:hint="eastAsia" w:ascii="仿宋" w:hAnsi="仿宋" w:eastAsia="仿宋" w:cs="仿宋"/>
          <w:kern w:val="2"/>
          <w:sz w:val="30"/>
          <w:szCs w:val="30"/>
          <w:shd w:val="clear" w:color="auto" w:fill="FFFFFF"/>
        </w:rPr>
        <w:t>（四）基本支出：保障机构正常运转的日常支出、完成日常工作任务而发生的各项支出，包括一般人员经费、公用经费、工作经费、业务费、死亡一次性抚恤等</w:t>
      </w:r>
      <w:r>
        <w:rPr>
          <w:rFonts w:hint="eastAsia" w:ascii="仿宋" w:hAnsi="仿宋" w:eastAsia="仿宋" w:cs="仿宋"/>
          <w:kern w:val="2"/>
          <w:sz w:val="30"/>
          <w:szCs w:val="30"/>
          <w:shd w:val="clear" w:color="auto" w:fill="FFFFFF"/>
          <w:lang w:eastAsia="zh-CN"/>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00" w:firstLineChars="200"/>
        <w:jc w:val="left"/>
        <w:rPr>
          <w:rFonts w:hint="eastAsia" w:ascii="仿宋" w:hAnsi="仿宋" w:eastAsia="仿宋" w:cs="仿宋"/>
          <w:sz w:val="30"/>
          <w:szCs w:val="30"/>
          <w:lang w:eastAsia="zh-CN"/>
        </w:rPr>
      </w:pPr>
      <w:r>
        <w:rPr>
          <w:rFonts w:hint="eastAsia" w:ascii="仿宋" w:hAnsi="仿宋" w:eastAsia="仿宋" w:cs="仿宋"/>
          <w:kern w:val="2"/>
          <w:sz w:val="30"/>
          <w:szCs w:val="30"/>
          <w:shd w:val="clear" w:color="auto" w:fill="FFFFFF"/>
        </w:rPr>
        <w:t>（五）项目支出：为完成特定的行政工作任务或事业发展目标，在基本支出之外发生的各项支出。如基本公共卫生、重大公共卫生、疾病预防控制、卫生人才培养等方面开支。</w:t>
      </w:r>
      <w:bookmarkStart w:id="0" w:name="_GoBack"/>
      <w:bookmarkEnd w:id="0"/>
    </w:p>
    <w:sectPr>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DF45A7"/>
    <w:multiLevelType w:val="singleLevel"/>
    <w:tmpl w:val="41DF45A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D245B2"/>
    <w:rsid w:val="00BC1E6E"/>
    <w:rsid w:val="057B049C"/>
    <w:rsid w:val="08A04DBA"/>
    <w:rsid w:val="09CD69D5"/>
    <w:rsid w:val="0B2503C5"/>
    <w:rsid w:val="0C1E7C1F"/>
    <w:rsid w:val="130C0CB5"/>
    <w:rsid w:val="1A3409B1"/>
    <w:rsid w:val="1C8A5B76"/>
    <w:rsid w:val="1EA24348"/>
    <w:rsid w:val="1FDD26D2"/>
    <w:rsid w:val="27F21BC5"/>
    <w:rsid w:val="290E5BBC"/>
    <w:rsid w:val="29DA2817"/>
    <w:rsid w:val="30EF2769"/>
    <w:rsid w:val="321517F1"/>
    <w:rsid w:val="372F350B"/>
    <w:rsid w:val="37656F2F"/>
    <w:rsid w:val="3B957BA7"/>
    <w:rsid w:val="3EFA2ED1"/>
    <w:rsid w:val="41BA5B2C"/>
    <w:rsid w:val="4412692C"/>
    <w:rsid w:val="4949749F"/>
    <w:rsid w:val="520A47A8"/>
    <w:rsid w:val="55C423EE"/>
    <w:rsid w:val="56515D62"/>
    <w:rsid w:val="56724ADB"/>
    <w:rsid w:val="59027B17"/>
    <w:rsid w:val="61367D9A"/>
    <w:rsid w:val="6BAA4B3A"/>
    <w:rsid w:val="6BE4390F"/>
    <w:rsid w:val="70F85183"/>
    <w:rsid w:val="717C07EC"/>
    <w:rsid w:val="71E07E26"/>
    <w:rsid w:val="74535A47"/>
    <w:rsid w:val="76FA4F41"/>
    <w:rsid w:val="77BED1BF"/>
    <w:rsid w:val="78FB5192"/>
    <w:rsid w:val="7E0551C8"/>
    <w:rsid w:val="EB7D041C"/>
    <w:rsid w:val="FFD245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widowControl/>
      <w:tabs>
        <w:tab w:val="center" w:pos="4153"/>
        <w:tab w:val="right" w:pos="8306"/>
      </w:tabs>
      <w:snapToGrid w:val="0"/>
      <w:spacing w:line="240" w:lineRule="atLeast"/>
      <w:jc w:val="left"/>
    </w:pPr>
    <w:rPr>
      <w:sz w:val="18"/>
      <w:szCs w:val="18"/>
    </w:rPr>
  </w:style>
  <w:style w:type="character" w:styleId="5">
    <w:name w:val="Hyperlink"/>
    <w:basedOn w:val="4"/>
    <w:qFormat/>
    <w:uiPriority w:val="0"/>
    <w:rPr>
      <w:color w:val="0000FF"/>
      <w:u w:val="single"/>
    </w:rPr>
  </w:style>
  <w:style w:type="paragraph" w:customStyle="1" w:styleId="6">
    <w:name w:val="MsoNormal"/>
    <w:basedOn w:val="1"/>
    <w:qFormat/>
    <w:uiPriority w:val="0"/>
  </w:style>
  <w:style w:type="table" w:customStyle="1" w:styleId="7">
    <w:name w:val="MsoNormalTable"/>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2020-08-27T22:12:00Z</dcterms:created>
  <dc:creator>callmecool</dc:creator>
  <cp:lastModifiedBy>贺勇</cp:lastModifiedBy>
  <dcterms:modified xsi:type="dcterms:W3CDTF">2022-08-31T09:42:20Z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9C45BA7633984A9D955143BA333BA1A2</vt:lpwstr>
  </property>
</Properties>
</file>